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7C" w:rsidRPr="00E47310" w:rsidRDefault="00E47310" w:rsidP="00E47310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7310">
        <w:rPr>
          <w:rFonts w:ascii="Times New Roman" w:hAnsi="Times New Roman" w:cs="Times New Roman"/>
          <w:b/>
          <w:sz w:val="32"/>
          <w:szCs w:val="32"/>
        </w:rPr>
        <w:t>Adam Noga</w:t>
      </w:r>
    </w:p>
    <w:p w:rsidR="00E47310" w:rsidRPr="00E47310" w:rsidRDefault="00E47310" w:rsidP="00E473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310" w:rsidRPr="00E47310" w:rsidRDefault="00E47310" w:rsidP="00E473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310" w:rsidRDefault="00E47310" w:rsidP="00E47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310">
        <w:rPr>
          <w:rFonts w:ascii="Times New Roman" w:hAnsi="Times New Roman" w:cs="Times New Roman"/>
          <w:b/>
          <w:sz w:val="32"/>
          <w:szCs w:val="32"/>
        </w:rPr>
        <w:t>Zagrożenia utrzymania rentowności przedsiębiorstw</w:t>
      </w:r>
    </w:p>
    <w:p w:rsidR="00E47310" w:rsidRDefault="00E47310" w:rsidP="00E473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310" w:rsidRPr="00265312" w:rsidRDefault="00265312" w:rsidP="002653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Spór o metodę badania siły polskich przedsiębiorstw</w:t>
      </w:r>
    </w:p>
    <w:p w:rsidR="00E47310" w:rsidRDefault="00E47310" w:rsidP="00E473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310" w:rsidRDefault="00E47310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niniejszym tekście przedstawimy swoisty reportaż z pola badań nad siłą tych mikroekonomicznych podstaw polskiej gospodarki, którą stanowią przedsiębiorstwa. Zagadnienie to – z jednej strony wydaje się pasjonująco intrygujące zarówno dla praktyki jak i teorii, chociaż z drugiej strony – z różnych powodów – jest nawet lekceważone. </w:t>
      </w:r>
    </w:p>
    <w:p w:rsidR="002D4735" w:rsidRDefault="00E47310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Można wyjść z dość oczywistej zależności – jakby się wydawało, chociaż potwierdzonej wyrafin</w:t>
      </w:r>
      <w:r w:rsidR="005A1CC6">
        <w:rPr>
          <w:rFonts w:ascii="Times New Roman" w:hAnsi="Times New Roman" w:cs="Times New Roman"/>
          <w:sz w:val="28"/>
          <w:szCs w:val="28"/>
        </w:rPr>
        <w:t>owanymi modelami teoretycznymi oraz</w:t>
      </w:r>
      <w:r>
        <w:rPr>
          <w:rFonts w:ascii="Times New Roman" w:hAnsi="Times New Roman" w:cs="Times New Roman"/>
          <w:sz w:val="28"/>
          <w:szCs w:val="28"/>
        </w:rPr>
        <w:t xml:space="preserve"> licznymi badaniami empirycznymi i statystycznymi, wskazującej że wzrost gospodarczy kreują dobrze się rozwijające przedsiębiorstwa. W tym też ujęciu szukając czynników dalszego wzrostu polskiej gospodarki </w:t>
      </w:r>
      <w:r w:rsidR="00B41EDA">
        <w:rPr>
          <w:rFonts w:ascii="Times New Roman" w:hAnsi="Times New Roman" w:cs="Times New Roman"/>
          <w:sz w:val="28"/>
          <w:szCs w:val="28"/>
        </w:rPr>
        <w:t xml:space="preserve">refleksja nad siłą, efektywnością czy konkurencyjnością polskich przedsiębiorstw wydaje się oczywista. Z różnych jednakże pozycji zgłasza się tutaj wiele wątpliwości. Na przykład </w:t>
      </w:r>
      <w:proofErr w:type="spellStart"/>
      <w:r w:rsidR="00B41EDA">
        <w:rPr>
          <w:rFonts w:ascii="Times New Roman" w:hAnsi="Times New Roman" w:cs="Times New Roman"/>
          <w:sz w:val="28"/>
          <w:szCs w:val="28"/>
        </w:rPr>
        <w:t>Neo-Keynesiści</w:t>
      </w:r>
      <w:proofErr w:type="spellEnd"/>
      <w:r w:rsidR="00B41EDA">
        <w:rPr>
          <w:rFonts w:ascii="Times New Roman" w:hAnsi="Times New Roman" w:cs="Times New Roman"/>
          <w:sz w:val="28"/>
          <w:szCs w:val="28"/>
        </w:rPr>
        <w:t xml:space="preserve"> w Polsce będą zwracać raczej uwagę, że propagandowe sukcesy wzrostu polskiej gospodarki w ostatnich latach, tzw. zielona wyspa wzrostu, to efekt raczej efekt zabiegów państwa i heroicznej postawy konsumpcji (C+G) w równaniu PKB, niż „zdrowych” działań inwestycyjnych przedsiębiorstw i ich wzrostu konkurencyjności międzynarodowej</w:t>
      </w:r>
      <w:r w:rsidR="00506B79">
        <w:rPr>
          <w:rFonts w:ascii="Times New Roman" w:hAnsi="Times New Roman" w:cs="Times New Roman"/>
          <w:sz w:val="28"/>
          <w:szCs w:val="28"/>
        </w:rPr>
        <w:t xml:space="preserve">, utrzymującej wysoki export i walczącej z importem </w:t>
      </w:r>
      <w:r w:rsidR="00B41EDA">
        <w:rPr>
          <w:rFonts w:ascii="Times New Roman" w:hAnsi="Times New Roman" w:cs="Times New Roman"/>
          <w:sz w:val="28"/>
          <w:szCs w:val="28"/>
        </w:rPr>
        <w:t xml:space="preserve"> (I + Ex</w:t>
      </w:r>
      <w:r w:rsidR="00506B79">
        <w:rPr>
          <w:rFonts w:ascii="Times New Roman" w:hAnsi="Times New Roman" w:cs="Times New Roman"/>
          <w:sz w:val="28"/>
          <w:szCs w:val="28"/>
        </w:rPr>
        <w:t xml:space="preserve"> - Im</w:t>
      </w:r>
      <w:r w:rsidR="00B41EDA">
        <w:rPr>
          <w:rFonts w:ascii="Times New Roman" w:hAnsi="Times New Roman" w:cs="Times New Roman"/>
          <w:sz w:val="28"/>
          <w:szCs w:val="28"/>
        </w:rPr>
        <w:t xml:space="preserve">) w </w:t>
      </w:r>
      <w:r w:rsidR="005A1CC6">
        <w:rPr>
          <w:rFonts w:ascii="Times New Roman" w:hAnsi="Times New Roman" w:cs="Times New Roman"/>
          <w:sz w:val="28"/>
          <w:szCs w:val="28"/>
        </w:rPr>
        <w:t>pozostałej części równania PKB.</w:t>
      </w:r>
      <w:r w:rsidR="00B53EF5">
        <w:rPr>
          <w:rFonts w:ascii="Times New Roman" w:hAnsi="Times New Roman" w:cs="Times New Roman"/>
          <w:sz w:val="28"/>
          <w:szCs w:val="28"/>
        </w:rPr>
        <w:t xml:space="preserve"> Przedsiębiorstwa w Polsce wytwarzają 60% PKB, dla jednych aż 60%, dla drugich tylko 60%.</w:t>
      </w:r>
      <w:r w:rsidR="0007444D">
        <w:rPr>
          <w:rFonts w:ascii="Times New Roman" w:hAnsi="Times New Roman" w:cs="Times New Roman"/>
          <w:sz w:val="28"/>
          <w:szCs w:val="28"/>
        </w:rPr>
        <w:t xml:space="preserve"> W tablicy nr 1 </w:t>
      </w:r>
      <w:r w:rsidR="0007444D">
        <w:rPr>
          <w:rFonts w:ascii="Times New Roman" w:hAnsi="Times New Roman" w:cs="Times New Roman"/>
          <w:sz w:val="28"/>
          <w:szCs w:val="28"/>
        </w:rPr>
        <w:lastRenderedPageBreak/>
        <w:t>przypominamy np. że liczba przedsiębiorstw w 2009 roku w Polsce spadła w stosunku do roku 2008 o 100 tysięcy i jeszcze w roku 2010 pozostaje na znacznie niższym poziomie niż w 2008 roku. A pamiętamy też,  że to właśnie rok 2009 był rokiem wzrostu PKB o 1,8%, rachitycznego i kontrowersyjnego, ale rewelacyjnego na tle Europy.</w:t>
      </w:r>
    </w:p>
    <w:p w:rsidR="00E47310" w:rsidRDefault="002D4735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sukurs wątpiącym w silne przedsiębiorcze podstawy mikroekonomiczne  </w:t>
      </w:r>
      <w:r w:rsidR="00B4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polskich przedsiębiorstw przychodzą światowe refleksje nad wzrostem gospodarczym wskazujące np. że mowa o twardych podstawach przedsiębiorczych staje się coraz bardziej archaiczna. Oto bowiem dzi</w:t>
      </w:r>
      <w:r w:rsidR="001000E9">
        <w:rPr>
          <w:rFonts w:ascii="Times New Roman" w:hAnsi="Times New Roman" w:cs="Times New Roman"/>
          <w:sz w:val="28"/>
          <w:szCs w:val="28"/>
        </w:rPr>
        <w:t xml:space="preserve">siaj w pięćsetce </w:t>
      </w:r>
      <w:r>
        <w:rPr>
          <w:rFonts w:ascii="Times New Roman" w:hAnsi="Times New Roman" w:cs="Times New Roman"/>
          <w:sz w:val="28"/>
          <w:szCs w:val="28"/>
        </w:rPr>
        <w:t>największych przedsiębiorstw</w:t>
      </w:r>
      <w:r w:rsidR="001000E9">
        <w:rPr>
          <w:rFonts w:ascii="Times New Roman" w:hAnsi="Times New Roman" w:cs="Times New Roman"/>
          <w:sz w:val="28"/>
          <w:szCs w:val="28"/>
        </w:rPr>
        <w:t xml:space="preserve"> amerykańskich Fortune</w:t>
      </w:r>
      <w:r>
        <w:rPr>
          <w:rFonts w:ascii="Times New Roman" w:hAnsi="Times New Roman" w:cs="Times New Roman"/>
          <w:sz w:val="28"/>
          <w:szCs w:val="28"/>
        </w:rPr>
        <w:t xml:space="preserve"> tylko o 20% z nich mówi się, że są twarde, mogą się względnie trwale utrzymywać w gospodarce i „ciągnąć” wzrost gospodarczy, a </w:t>
      </w:r>
      <w:r w:rsidR="001000E9">
        <w:rPr>
          <w:rFonts w:ascii="Times New Roman" w:hAnsi="Times New Roman" w:cs="Times New Roman"/>
          <w:sz w:val="28"/>
          <w:szCs w:val="28"/>
        </w:rPr>
        <w:t>pozostałe z nich stają</w:t>
      </w:r>
      <w:r>
        <w:rPr>
          <w:rFonts w:ascii="Times New Roman" w:hAnsi="Times New Roman" w:cs="Times New Roman"/>
          <w:sz w:val="28"/>
          <w:szCs w:val="28"/>
        </w:rPr>
        <w:t xml:space="preserve"> się przedsiębiorstwami bardzo niepewnymi jutra i </w:t>
      </w:r>
      <w:r w:rsidR="0000186D">
        <w:rPr>
          <w:rFonts w:ascii="Times New Roman" w:hAnsi="Times New Roman" w:cs="Times New Roman"/>
          <w:sz w:val="28"/>
          <w:szCs w:val="28"/>
        </w:rPr>
        <w:t xml:space="preserve">trwałej </w:t>
      </w:r>
      <w:r>
        <w:rPr>
          <w:rFonts w:ascii="Times New Roman" w:hAnsi="Times New Roman" w:cs="Times New Roman"/>
          <w:sz w:val="28"/>
          <w:szCs w:val="28"/>
        </w:rPr>
        <w:t>roli wzrostowej w gospodarce.</w:t>
      </w:r>
      <w:r w:rsidR="001000E9">
        <w:rPr>
          <w:rFonts w:ascii="Times New Roman" w:hAnsi="Times New Roman" w:cs="Times New Roman"/>
          <w:sz w:val="28"/>
          <w:szCs w:val="28"/>
        </w:rPr>
        <w:t xml:space="preserve"> </w:t>
      </w:r>
      <w:r w:rsidR="00574CB8">
        <w:rPr>
          <w:rFonts w:ascii="Times New Roman" w:hAnsi="Times New Roman" w:cs="Times New Roman"/>
          <w:sz w:val="28"/>
          <w:szCs w:val="28"/>
        </w:rPr>
        <w:t>Przedsiębiorstwa to już cor</w:t>
      </w:r>
      <w:r w:rsidR="005A1CC6">
        <w:rPr>
          <w:rFonts w:ascii="Times New Roman" w:hAnsi="Times New Roman" w:cs="Times New Roman"/>
          <w:sz w:val="28"/>
          <w:szCs w:val="28"/>
        </w:rPr>
        <w:t>az</w:t>
      </w:r>
      <w:r w:rsidR="00574CB8">
        <w:rPr>
          <w:rFonts w:ascii="Times New Roman" w:hAnsi="Times New Roman" w:cs="Times New Roman"/>
          <w:sz w:val="28"/>
          <w:szCs w:val="28"/>
        </w:rPr>
        <w:t xml:space="preserve"> mniej skały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 w:rsidR="00574CB8">
        <w:rPr>
          <w:rFonts w:ascii="Times New Roman" w:hAnsi="Times New Roman" w:cs="Times New Roman"/>
          <w:sz w:val="28"/>
          <w:szCs w:val="28"/>
        </w:rPr>
        <w:t xml:space="preserve"> na których budowana jest gospodarka, a coraz bardziej</w:t>
      </w:r>
      <w:r w:rsidR="000303BC">
        <w:rPr>
          <w:rFonts w:ascii="Times New Roman" w:hAnsi="Times New Roman" w:cs="Times New Roman"/>
          <w:sz w:val="28"/>
          <w:szCs w:val="28"/>
        </w:rPr>
        <w:t xml:space="preserve"> kry,</w:t>
      </w:r>
      <w:r w:rsidR="00574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CB8">
        <w:rPr>
          <w:rFonts w:ascii="Times New Roman" w:hAnsi="Times New Roman" w:cs="Times New Roman"/>
          <w:sz w:val="28"/>
          <w:szCs w:val="28"/>
        </w:rPr>
        <w:t>symulakry</w:t>
      </w:r>
      <w:proofErr w:type="spellEnd"/>
      <w:r w:rsidR="00574CB8">
        <w:rPr>
          <w:rFonts w:ascii="Times New Roman" w:hAnsi="Times New Roman" w:cs="Times New Roman"/>
          <w:sz w:val="28"/>
          <w:szCs w:val="28"/>
        </w:rPr>
        <w:t xml:space="preserve"> czy kłącza jak chce filozofia postmodernistyczna J. </w:t>
      </w:r>
      <w:proofErr w:type="spellStart"/>
      <w:r w:rsidR="00574CB8">
        <w:rPr>
          <w:rFonts w:ascii="Times New Roman" w:hAnsi="Times New Roman" w:cs="Times New Roman"/>
          <w:sz w:val="28"/>
          <w:szCs w:val="28"/>
        </w:rPr>
        <w:t>Baudrillarda</w:t>
      </w:r>
      <w:proofErr w:type="spellEnd"/>
      <w:r w:rsidR="00574CB8">
        <w:rPr>
          <w:rFonts w:ascii="Times New Roman" w:hAnsi="Times New Roman" w:cs="Times New Roman"/>
          <w:sz w:val="28"/>
          <w:szCs w:val="28"/>
        </w:rPr>
        <w:t xml:space="preserve"> czy G. </w:t>
      </w:r>
      <w:proofErr w:type="spellStart"/>
      <w:r w:rsidR="00574CB8">
        <w:rPr>
          <w:rFonts w:ascii="Times New Roman" w:hAnsi="Times New Roman" w:cs="Times New Roman"/>
          <w:sz w:val="28"/>
          <w:szCs w:val="28"/>
        </w:rPr>
        <w:t>Deleuze’a</w:t>
      </w:r>
      <w:proofErr w:type="spellEnd"/>
      <w:r w:rsidR="00574CB8">
        <w:rPr>
          <w:rFonts w:ascii="Times New Roman" w:hAnsi="Times New Roman" w:cs="Times New Roman"/>
          <w:sz w:val="28"/>
          <w:szCs w:val="28"/>
        </w:rPr>
        <w:t xml:space="preserve">. </w:t>
      </w:r>
      <w:r w:rsidR="001000E9">
        <w:rPr>
          <w:rFonts w:ascii="Times New Roman" w:hAnsi="Times New Roman" w:cs="Times New Roman"/>
          <w:sz w:val="28"/>
          <w:szCs w:val="28"/>
        </w:rPr>
        <w:t>Bankructwo General Motors</w:t>
      </w:r>
      <w:r w:rsidR="006F3E01">
        <w:rPr>
          <w:rFonts w:ascii="Times New Roman" w:hAnsi="Times New Roman" w:cs="Times New Roman"/>
          <w:sz w:val="28"/>
          <w:szCs w:val="28"/>
        </w:rPr>
        <w:t xml:space="preserve"> </w:t>
      </w:r>
      <w:r w:rsidR="005A1CC6">
        <w:rPr>
          <w:rFonts w:ascii="Times New Roman" w:hAnsi="Times New Roman" w:cs="Times New Roman"/>
          <w:sz w:val="28"/>
          <w:szCs w:val="28"/>
        </w:rPr>
        <w:t xml:space="preserve">i </w:t>
      </w:r>
      <w:r w:rsidR="006F3E01">
        <w:rPr>
          <w:rFonts w:ascii="Times New Roman" w:hAnsi="Times New Roman" w:cs="Times New Roman"/>
          <w:sz w:val="28"/>
          <w:szCs w:val="28"/>
        </w:rPr>
        <w:t>jego reaktywacja zilustrowały</w:t>
      </w:r>
      <w:r w:rsidR="001000E9">
        <w:rPr>
          <w:rFonts w:ascii="Times New Roman" w:hAnsi="Times New Roman" w:cs="Times New Roman"/>
          <w:sz w:val="28"/>
          <w:szCs w:val="28"/>
        </w:rPr>
        <w:t xml:space="preserve"> dobitnie tę tezę. </w:t>
      </w:r>
      <w:r>
        <w:rPr>
          <w:rFonts w:ascii="Times New Roman" w:hAnsi="Times New Roman" w:cs="Times New Roman"/>
          <w:sz w:val="28"/>
          <w:szCs w:val="28"/>
        </w:rPr>
        <w:t xml:space="preserve"> Dwadzieścia lat temu  było dokładnie odwrotnie </w:t>
      </w:r>
      <w:r w:rsidR="005A1CC6">
        <w:rPr>
          <w:rFonts w:ascii="Times New Roman" w:hAnsi="Times New Roman" w:cs="Times New Roman"/>
          <w:sz w:val="28"/>
          <w:szCs w:val="28"/>
        </w:rPr>
        <w:t xml:space="preserve">(80% przedsiębiorstw uznawano w 500 Fortune za pewne przyszłości) </w:t>
      </w:r>
      <w:r>
        <w:rPr>
          <w:rFonts w:ascii="Times New Roman" w:hAnsi="Times New Roman" w:cs="Times New Roman"/>
          <w:sz w:val="28"/>
          <w:szCs w:val="28"/>
        </w:rPr>
        <w:t xml:space="preserve">i wówczas sensowne były próby poszukiwania twardych podstaw przedsiębiorczych wzrostu gospodarczego.  </w:t>
      </w:r>
      <w:r w:rsidR="005D4EA9">
        <w:rPr>
          <w:rFonts w:ascii="Times New Roman" w:hAnsi="Times New Roman" w:cs="Times New Roman"/>
          <w:sz w:val="28"/>
          <w:szCs w:val="28"/>
        </w:rPr>
        <w:t>W USA brak wiary w przedsiębiorstwa wylansował nawet przez sieć blogów nowe kierunki myśli ekonomicznej, będące w istocie wulgarnym Keynesizmem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 w:rsidR="005D4EA9">
        <w:rPr>
          <w:rFonts w:ascii="Times New Roman" w:hAnsi="Times New Roman" w:cs="Times New Roman"/>
          <w:sz w:val="28"/>
          <w:szCs w:val="28"/>
        </w:rPr>
        <w:t xml:space="preserve"> a nazywających się przewrot</w:t>
      </w:r>
      <w:r w:rsidR="005204F1">
        <w:rPr>
          <w:rFonts w:ascii="Times New Roman" w:hAnsi="Times New Roman" w:cs="Times New Roman"/>
          <w:sz w:val="28"/>
          <w:szCs w:val="28"/>
        </w:rPr>
        <w:t xml:space="preserve">nie: New </w:t>
      </w:r>
      <w:proofErr w:type="spellStart"/>
      <w:r w:rsidR="005204F1">
        <w:rPr>
          <w:rFonts w:ascii="Times New Roman" w:hAnsi="Times New Roman" w:cs="Times New Roman"/>
          <w:sz w:val="28"/>
          <w:szCs w:val="28"/>
        </w:rPr>
        <w:t>Chartalisme</w:t>
      </w:r>
      <w:proofErr w:type="spellEnd"/>
      <w:r w:rsidR="005D4EA9">
        <w:rPr>
          <w:rFonts w:ascii="Times New Roman" w:hAnsi="Times New Roman" w:cs="Times New Roman"/>
          <w:sz w:val="28"/>
          <w:szCs w:val="28"/>
        </w:rPr>
        <w:t xml:space="preserve">, </w:t>
      </w:r>
      <w:r w:rsidR="005204F1">
        <w:rPr>
          <w:rFonts w:ascii="Times New Roman" w:hAnsi="Times New Roman" w:cs="Times New Roman"/>
          <w:sz w:val="28"/>
          <w:szCs w:val="28"/>
        </w:rPr>
        <w:t xml:space="preserve">Modern </w:t>
      </w:r>
      <w:proofErr w:type="spellStart"/>
      <w:r w:rsidR="005204F1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="005204F1">
        <w:rPr>
          <w:rFonts w:ascii="Times New Roman" w:hAnsi="Times New Roman" w:cs="Times New Roman"/>
          <w:sz w:val="28"/>
          <w:szCs w:val="28"/>
        </w:rPr>
        <w:t xml:space="preserve"> of Money czy wręcz rynkowym monetaryzmem. Milton Friedman przewraca się w grobie</w:t>
      </w:r>
      <w:r w:rsidR="001000E9">
        <w:rPr>
          <w:rFonts w:ascii="Times New Roman" w:hAnsi="Times New Roman" w:cs="Times New Roman"/>
          <w:sz w:val="28"/>
          <w:szCs w:val="28"/>
        </w:rPr>
        <w:t xml:space="preserve"> -</w:t>
      </w:r>
      <w:r w:rsidR="005204F1">
        <w:rPr>
          <w:rFonts w:ascii="Times New Roman" w:hAnsi="Times New Roman" w:cs="Times New Roman"/>
          <w:sz w:val="28"/>
          <w:szCs w:val="28"/>
        </w:rPr>
        <w:t xml:space="preserve"> zwłaszcza, że wszystkie te kierunki główną siłę gospodarki dostrzegają w maszynach drukarskich banków centralnych.</w:t>
      </w:r>
      <w:r w:rsidR="00C96788">
        <w:rPr>
          <w:rFonts w:ascii="Times New Roman" w:hAnsi="Times New Roman" w:cs="Times New Roman"/>
          <w:sz w:val="28"/>
          <w:szCs w:val="28"/>
        </w:rPr>
        <w:t xml:space="preserve"> Gdy tymczasem - zupełnie poza tym - być może brutalne siły rynkowe kreując relatywnie bardzo wysokie bezrobocie w USA doprowadzają już do autentycznej restrukturyzacji przedsiębiorstw </w:t>
      </w:r>
      <w:r w:rsidR="00C96788">
        <w:rPr>
          <w:rFonts w:ascii="Times New Roman" w:hAnsi="Times New Roman" w:cs="Times New Roman"/>
          <w:sz w:val="28"/>
          <w:szCs w:val="28"/>
        </w:rPr>
        <w:lastRenderedPageBreak/>
        <w:t>amerykańskich, które na nowo zaczynają zatrudniać i zwiększać w rek</w:t>
      </w:r>
      <w:r w:rsidR="005A1CC6">
        <w:rPr>
          <w:rFonts w:ascii="Times New Roman" w:hAnsi="Times New Roman" w:cs="Times New Roman"/>
          <w:sz w:val="28"/>
          <w:szCs w:val="28"/>
        </w:rPr>
        <w:t>ordowym</w:t>
      </w:r>
      <w:r w:rsidR="00135962">
        <w:rPr>
          <w:rFonts w:ascii="Times New Roman" w:hAnsi="Times New Roman" w:cs="Times New Roman"/>
          <w:sz w:val="28"/>
          <w:szCs w:val="28"/>
        </w:rPr>
        <w:t>, jak przystało na stare potęgi kapitalistyczny,</w:t>
      </w:r>
      <w:r w:rsidR="00C96788">
        <w:rPr>
          <w:rFonts w:ascii="Times New Roman" w:hAnsi="Times New Roman" w:cs="Times New Roman"/>
          <w:sz w:val="28"/>
          <w:szCs w:val="28"/>
        </w:rPr>
        <w:t xml:space="preserve"> tempie wydajność pracy i konkurencyjność przedsiębiorstw</w:t>
      </w:r>
      <w:r w:rsidR="0013596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C96788">
        <w:rPr>
          <w:rFonts w:ascii="Times New Roman" w:hAnsi="Times New Roman" w:cs="Times New Roman"/>
          <w:sz w:val="28"/>
          <w:szCs w:val="28"/>
        </w:rPr>
        <w:t>.</w:t>
      </w:r>
    </w:p>
    <w:p w:rsidR="00B10434" w:rsidRDefault="00847C7D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polskich dyskusjach wątpliwości dotyczących roli przedsiębiorstw w „zdrowym” wzroście gospodarczym jest jeszcze więcej. Wątpliwości te bowiem podsyca spór o siłę polskich przedsiębiorstw po ciężkiej restrukturyzacji ustrojowej: prywatyzacji, przejęciu przez kapitał zagraniczny, silnemu odchu</w:t>
      </w:r>
      <w:r w:rsidR="00C96788">
        <w:rPr>
          <w:rFonts w:ascii="Times New Roman" w:hAnsi="Times New Roman" w:cs="Times New Roman"/>
          <w:sz w:val="28"/>
          <w:szCs w:val="28"/>
        </w:rPr>
        <w:t>dzeniu, uzależnieniu od banków kontrolowanych</w:t>
      </w:r>
      <w:r>
        <w:rPr>
          <w:rFonts w:ascii="Times New Roman" w:hAnsi="Times New Roman" w:cs="Times New Roman"/>
          <w:sz w:val="28"/>
          <w:szCs w:val="28"/>
        </w:rPr>
        <w:t xml:space="preserve"> przez kapitał zagraniczny, fasadowości firm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samozatrudnieniowych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E7A">
        <w:rPr>
          <w:rFonts w:ascii="Times New Roman" w:hAnsi="Times New Roman" w:cs="Times New Roman"/>
          <w:sz w:val="28"/>
          <w:szCs w:val="28"/>
        </w:rPr>
        <w:t>pozbyciu się zobowiązań socj</w:t>
      </w:r>
      <w:r w:rsidR="00C96788">
        <w:rPr>
          <w:rFonts w:ascii="Times New Roman" w:hAnsi="Times New Roman" w:cs="Times New Roman"/>
          <w:sz w:val="28"/>
          <w:szCs w:val="28"/>
        </w:rPr>
        <w:t>alnych przedsiębiorstw, pozbyciu</w:t>
      </w:r>
      <w:r w:rsidR="00A11E7A">
        <w:rPr>
          <w:rFonts w:ascii="Times New Roman" w:hAnsi="Times New Roman" w:cs="Times New Roman"/>
          <w:sz w:val="28"/>
          <w:szCs w:val="28"/>
        </w:rPr>
        <w:t xml:space="preserve"> się odpowiedzialności za rozwój aktywów ludzkich itd. </w:t>
      </w:r>
      <w:r w:rsidR="00C96788">
        <w:rPr>
          <w:rFonts w:ascii="Times New Roman" w:hAnsi="Times New Roman" w:cs="Times New Roman"/>
          <w:sz w:val="28"/>
          <w:szCs w:val="28"/>
        </w:rPr>
        <w:t xml:space="preserve">W sporze tym słabo wypadają propagatorzy dobrej kondycji polskich przedsiębiorstw, ponieważ nawet rekordowe wielkości rentowności przedsiębiorstw, rekordowe wielkości zysków i nadwyżek finansowych, powszechnie uznawane są za przejściowe i skoncentrowane w niewielkiej liczbie firm. </w:t>
      </w:r>
      <w:r w:rsidR="00AE3952">
        <w:rPr>
          <w:rFonts w:ascii="Times New Roman" w:hAnsi="Times New Roman" w:cs="Times New Roman"/>
          <w:sz w:val="28"/>
          <w:szCs w:val="28"/>
        </w:rPr>
        <w:t xml:space="preserve">Z kolei rekordowe wyniki eksportowe firm uznawane są za przejściowe efekty strategii międzynarodowych  właścicieli </w:t>
      </w:r>
      <w:r w:rsidR="00B10434">
        <w:rPr>
          <w:rFonts w:ascii="Times New Roman" w:hAnsi="Times New Roman" w:cs="Times New Roman"/>
          <w:sz w:val="28"/>
          <w:szCs w:val="28"/>
        </w:rPr>
        <w:t xml:space="preserve">polskich </w:t>
      </w:r>
      <w:r w:rsidR="00AE3952">
        <w:rPr>
          <w:rFonts w:ascii="Times New Roman" w:hAnsi="Times New Roman" w:cs="Times New Roman"/>
          <w:sz w:val="28"/>
          <w:szCs w:val="28"/>
        </w:rPr>
        <w:t>przedsiębiorstw.</w:t>
      </w:r>
    </w:p>
    <w:p w:rsidR="00B10434" w:rsidRDefault="00B10434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świetle powyższych uwag poszukiwanie roztropnej odpowiedzi na pytanie: jakie są naprawdę mikroekonomiczne podstawy polskich przedsiębiorstw, czy są one w stanie utrzymać </w:t>
      </w:r>
      <w:r>
        <w:rPr>
          <w:rFonts w:ascii="Times New Roman" w:hAnsi="Times New Roman" w:cs="Times New Roman"/>
          <w:i/>
          <w:sz w:val="28"/>
          <w:szCs w:val="28"/>
        </w:rPr>
        <w:t xml:space="preserve">en gros </w:t>
      </w:r>
      <w:r>
        <w:rPr>
          <w:rFonts w:ascii="Times New Roman" w:hAnsi="Times New Roman" w:cs="Times New Roman"/>
          <w:sz w:val="28"/>
          <w:szCs w:val="28"/>
        </w:rPr>
        <w:t>swoją niezłą rentowność, a jeśli nie to z jakiego powodu, wydaje się przedsięwzięciem pasjonującym – i tylko w tej pasji chcielibyśmy w tym tekście zaangażować swoje emocje</w:t>
      </w:r>
      <w:r w:rsidR="0078643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DE3" w:rsidRDefault="00A66DE3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Aby odpowiedzieć na powyższe pytanie (pytania) prowadzimy długofalowe skomplikowane badania metodologiczne. W niniejszym tekście nie przedstawimy jeszcze ostatecznych i twardszych liczbowo rezultatów. Niniejszy tekst traktujemy bardz</w:t>
      </w:r>
      <w:r w:rsidR="005A1CC6">
        <w:rPr>
          <w:rFonts w:ascii="Times New Roman" w:hAnsi="Times New Roman" w:cs="Times New Roman"/>
          <w:sz w:val="28"/>
          <w:szCs w:val="28"/>
        </w:rPr>
        <w:t>iej jako reportaż z pola badań niż</w:t>
      </w:r>
      <w:r>
        <w:rPr>
          <w:rFonts w:ascii="Times New Roman" w:hAnsi="Times New Roman" w:cs="Times New Roman"/>
          <w:sz w:val="28"/>
          <w:szCs w:val="28"/>
        </w:rPr>
        <w:t xml:space="preserve"> raport z badań. Formuła konferencji naukowej, w której tekst będzie przedmiotem dyskusji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pozwala na takie podejście. Jest ono naukowo płodniejsze i uczciwsze niż próba krzykliwego narzucania rezultatów badań, niestety coraz powszechniejsza, jakkolwiek nie dostrzeżona</w:t>
      </w:r>
      <w:r w:rsidR="005A1CC6">
        <w:rPr>
          <w:rFonts w:ascii="Times New Roman" w:hAnsi="Times New Roman" w:cs="Times New Roman"/>
          <w:sz w:val="28"/>
          <w:szCs w:val="28"/>
        </w:rPr>
        <w:t xml:space="preserve"> kiedyś</w:t>
      </w:r>
      <w:r>
        <w:rPr>
          <w:rFonts w:ascii="Times New Roman" w:hAnsi="Times New Roman" w:cs="Times New Roman"/>
          <w:sz w:val="28"/>
          <w:szCs w:val="28"/>
        </w:rPr>
        <w:t xml:space="preserve"> przez takich tuzów metodologii nauki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Wittgenstein, Popper, Kuhn czy </w:t>
      </w:r>
      <w:proofErr w:type="spellStart"/>
      <w:r>
        <w:rPr>
          <w:rFonts w:ascii="Times New Roman" w:hAnsi="Times New Roman" w:cs="Times New Roman"/>
          <w:sz w:val="28"/>
          <w:szCs w:val="28"/>
        </w:rPr>
        <w:t>Lakatos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DE3" w:rsidRDefault="00A66DE3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Refleksja badawcza tego tekstu  oświeca się konstatacją A. Einsteina</w:t>
      </w:r>
      <w:r w:rsidR="00452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często liczy się to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0F">
        <w:rPr>
          <w:rFonts w:ascii="Times New Roman" w:hAnsi="Times New Roman" w:cs="Times New Roman"/>
          <w:sz w:val="28"/>
          <w:szCs w:val="28"/>
        </w:rPr>
        <w:t xml:space="preserve">co </w:t>
      </w:r>
      <w:r>
        <w:rPr>
          <w:rFonts w:ascii="Times New Roman" w:hAnsi="Times New Roman" w:cs="Times New Roman"/>
          <w:sz w:val="28"/>
          <w:szCs w:val="28"/>
        </w:rPr>
        <w:t>się nie liczy</w:t>
      </w:r>
      <w:r w:rsidR="00452A0F">
        <w:rPr>
          <w:rFonts w:ascii="Times New Roman" w:hAnsi="Times New Roman" w:cs="Times New Roman"/>
          <w:sz w:val="28"/>
          <w:szCs w:val="28"/>
        </w:rPr>
        <w:t>, a nie da się policzyć tego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 w:rsidR="00452A0F">
        <w:rPr>
          <w:rFonts w:ascii="Times New Roman" w:hAnsi="Times New Roman" w:cs="Times New Roman"/>
          <w:sz w:val="28"/>
          <w:szCs w:val="28"/>
        </w:rPr>
        <w:t xml:space="preserve"> co się liczy. W refleksji tej też nie stawia się problemu przedsiębiorstw jako pępka kondycji i wzrostu całej gospodarki. W innym miejscu próbujemy analizować to zagadnienie wskazując na kondycję i czynniki wzrostu współczesnej gospodarki mieszczących się w formule (AI)</w:t>
      </w:r>
      <w:r w:rsidR="00452A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52A0F">
        <w:rPr>
          <w:rFonts w:ascii="Times New Roman" w:hAnsi="Times New Roman" w:cs="Times New Roman"/>
          <w:sz w:val="28"/>
          <w:szCs w:val="28"/>
        </w:rPr>
        <w:t>. Chodzi tutaj o formułę wzrostu wyznaczaną przez (Aktywa Intelektualne) x (Aktywa Infrastrukturalne) x (Aktywa Inicjalne (ludzi, surowce itp.) x (Aktywa Instytucjonalne).  W (AI)</w:t>
      </w:r>
      <w:r w:rsidR="00452A0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52A0F">
        <w:rPr>
          <w:rFonts w:ascii="Times New Roman" w:hAnsi="Times New Roman" w:cs="Times New Roman"/>
          <w:sz w:val="28"/>
          <w:szCs w:val="28"/>
        </w:rPr>
        <w:t xml:space="preserve"> przedsiębiorstwa odgrywają wielką rolę</w:t>
      </w:r>
      <w:r w:rsidR="005A1CC6">
        <w:rPr>
          <w:rFonts w:ascii="Times New Roman" w:hAnsi="Times New Roman" w:cs="Times New Roman"/>
          <w:sz w:val="28"/>
          <w:szCs w:val="28"/>
        </w:rPr>
        <w:t>,</w:t>
      </w:r>
      <w:r w:rsidR="00452A0F">
        <w:rPr>
          <w:rFonts w:ascii="Times New Roman" w:hAnsi="Times New Roman" w:cs="Times New Roman"/>
          <w:sz w:val="28"/>
          <w:szCs w:val="28"/>
        </w:rPr>
        <w:t xml:space="preserve"> ale nie całkowitą.</w:t>
      </w:r>
    </w:p>
    <w:p w:rsidR="00574CB8" w:rsidRDefault="00574CB8" w:rsidP="00265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związku z powyższymi uwagami w długofalowych badaniach nad stanem polskich przedsiębiorstw</w:t>
      </w:r>
      <w:r w:rsidR="0004034D">
        <w:rPr>
          <w:rFonts w:ascii="Times New Roman" w:hAnsi="Times New Roman" w:cs="Times New Roman"/>
          <w:sz w:val="28"/>
          <w:szCs w:val="28"/>
        </w:rPr>
        <w:t xml:space="preserve"> konieczne jest wykorzystywanie łącznie następujących metodologii: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Statystycznej analizy finansowej kondycji przedsiębiorstw;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Strategicznej analizy wybranych przedsiębiorstw np. przez firmy konsultingowe, badaczy naukowych przygotowujących np. rozprawy doktorskie;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Analizy pozycji eksportowej polskich przedsiębiorstw jako ich weryfikacji przez rynki zagraniczne;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zdolności kredytowej przedsiębiorstw dokonywanych przez banki;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modelowej typu modelu prawdopodobieństwa upadku przedsiębiorstwa Altmana;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aktywności inwestycyjnej i innowacyjnej przedsiębiorstw;</w:t>
      </w:r>
    </w:p>
    <w:p w:rsidR="007C5B2F" w:rsidRDefault="007C5B2F" w:rsidP="00265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Analizy inwestowania portfelowego globalnych funduszy w polskie przedsiębiorstwa;</w:t>
      </w:r>
    </w:p>
    <w:p w:rsidR="007C5B2F" w:rsidRPr="0004034D" w:rsidRDefault="007C5B2F" w:rsidP="007C5B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Autorskiej koncepcji badania nadwyżek przedsiębiorczych.</w:t>
      </w:r>
    </w:p>
    <w:p w:rsidR="00847C7D" w:rsidRDefault="000502F8" w:rsidP="0026531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Oczywiście zgodnie z powyższymi uwagami w niniejszym tekście możemy jedynie skoncentrować się na </w:t>
      </w:r>
      <w:r w:rsidR="00D85F86">
        <w:rPr>
          <w:rFonts w:ascii="Times New Roman" w:hAnsi="Times New Roman" w:cs="Times New Roman"/>
          <w:sz w:val="28"/>
          <w:szCs w:val="28"/>
        </w:rPr>
        <w:t>refleksji</w:t>
      </w:r>
      <w:r>
        <w:rPr>
          <w:rFonts w:ascii="Times New Roman" w:hAnsi="Times New Roman" w:cs="Times New Roman"/>
          <w:sz w:val="28"/>
          <w:szCs w:val="28"/>
        </w:rPr>
        <w:t xml:space="preserve"> metodol</w:t>
      </w:r>
      <w:r w:rsidR="00D85F86">
        <w:rPr>
          <w:rFonts w:ascii="Times New Roman" w:hAnsi="Times New Roman" w:cs="Times New Roman"/>
          <w:sz w:val="28"/>
          <w:szCs w:val="28"/>
        </w:rPr>
        <w:t>ogicznej</w:t>
      </w:r>
      <w:r>
        <w:rPr>
          <w:rFonts w:ascii="Times New Roman" w:hAnsi="Times New Roman" w:cs="Times New Roman"/>
          <w:sz w:val="28"/>
          <w:szCs w:val="28"/>
        </w:rPr>
        <w:t xml:space="preserve"> poszukiwania odpowiedzi na pytanie</w:t>
      </w:r>
      <w:r w:rsidR="005A1C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jakie są przedsiębiorcze podstawy polskiej gospodarki</w:t>
      </w:r>
      <w:r w:rsidR="005A1CC6">
        <w:rPr>
          <w:rFonts w:ascii="Times New Roman" w:hAnsi="Times New Roman" w:cs="Times New Roman"/>
          <w:sz w:val="28"/>
          <w:szCs w:val="28"/>
        </w:rPr>
        <w:t xml:space="preserve"> oraz na</w:t>
      </w:r>
      <w:r>
        <w:rPr>
          <w:rFonts w:ascii="Times New Roman" w:hAnsi="Times New Roman" w:cs="Times New Roman"/>
          <w:sz w:val="28"/>
          <w:szCs w:val="28"/>
        </w:rPr>
        <w:t xml:space="preserve"> wskazaniu pomysłowych koncepcji oraz hipotez. Bardziej zaawansowany tekst wymaga ukończenia i rozpoczęcia wiel</w:t>
      </w:r>
      <w:r w:rsidR="0000186D">
        <w:rPr>
          <w:rFonts w:ascii="Times New Roman" w:hAnsi="Times New Roman" w:cs="Times New Roman"/>
          <w:sz w:val="28"/>
          <w:szCs w:val="28"/>
        </w:rPr>
        <w:t>u nowych  szerszych</w:t>
      </w:r>
      <w:r w:rsidR="005A1CC6">
        <w:rPr>
          <w:rFonts w:ascii="Times New Roman" w:hAnsi="Times New Roman" w:cs="Times New Roman"/>
          <w:sz w:val="28"/>
          <w:szCs w:val="28"/>
        </w:rPr>
        <w:t>, głębszych i pracochłonnych</w:t>
      </w:r>
      <w:r>
        <w:rPr>
          <w:rFonts w:ascii="Times New Roman" w:hAnsi="Times New Roman" w:cs="Times New Roman"/>
          <w:sz w:val="28"/>
          <w:szCs w:val="28"/>
        </w:rPr>
        <w:t xml:space="preserve"> przedsięwzięć badawczych.</w:t>
      </w:r>
    </w:p>
    <w:p w:rsidR="007C5B2F" w:rsidRDefault="007C5B2F" w:rsidP="000502F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5B2F" w:rsidRPr="00D85F86" w:rsidRDefault="00D85F86" w:rsidP="00D85F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 f</w:t>
      </w:r>
      <w:r w:rsidR="007C5B2F" w:rsidRPr="00D85F86">
        <w:rPr>
          <w:rFonts w:ascii="Times New Roman" w:hAnsi="Times New Roman" w:cs="Times New Roman"/>
          <w:b/>
          <w:sz w:val="28"/>
          <w:szCs w:val="28"/>
        </w:rPr>
        <w:t>inansowej kondycji przedsiębiorstw</w:t>
      </w:r>
      <w:r>
        <w:rPr>
          <w:rFonts w:ascii="Times New Roman" w:hAnsi="Times New Roman" w:cs="Times New Roman"/>
          <w:b/>
          <w:sz w:val="28"/>
          <w:szCs w:val="28"/>
        </w:rPr>
        <w:t xml:space="preserve"> w Polsce</w:t>
      </w:r>
    </w:p>
    <w:p w:rsidR="007C5B2F" w:rsidRDefault="007C5B2F" w:rsidP="000502F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5B2F" w:rsidRDefault="00D85F86" w:rsidP="001203C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tablicy nr 1 przedstawiamy „ściągę” </w:t>
      </w:r>
      <w:r w:rsidR="001203C9">
        <w:rPr>
          <w:rFonts w:ascii="Times New Roman" w:hAnsi="Times New Roman" w:cs="Times New Roman"/>
          <w:sz w:val="28"/>
          <w:szCs w:val="28"/>
        </w:rPr>
        <w:t xml:space="preserve">pomocną w refleksji nad kondycją przedsiębiorstw w Polsce i w rozważaniach nad utrzymywaniem się rentowności w przyszłości. Tablica ta bardziej przypomina papierową klawiaturę jaką miał był zwyczaj J. Waldorff zamieszczać w podręcznikach muzykologii, a więc nie prawdziwy fortepian, który możemy znaleźć w innych pracach, np. K. </w:t>
      </w:r>
      <w:proofErr w:type="spellStart"/>
      <w:r w:rsidR="001203C9">
        <w:rPr>
          <w:rFonts w:ascii="Times New Roman" w:hAnsi="Times New Roman" w:cs="Times New Roman"/>
          <w:sz w:val="28"/>
          <w:szCs w:val="28"/>
        </w:rPr>
        <w:t>Mościbrodzkiej</w:t>
      </w:r>
      <w:proofErr w:type="spellEnd"/>
      <w:r w:rsidR="001203C9">
        <w:rPr>
          <w:rFonts w:ascii="Times New Roman" w:hAnsi="Times New Roman" w:cs="Times New Roman"/>
          <w:sz w:val="28"/>
          <w:szCs w:val="28"/>
        </w:rPr>
        <w:t xml:space="preserve"> z IF AF. Azaliż i ta „ściąga” może się w tym miejscu przydać.</w:t>
      </w:r>
    </w:p>
    <w:p w:rsidR="0000186D" w:rsidRDefault="0000186D" w:rsidP="000502F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508E" w:rsidRDefault="00936586" w:rsidP="000502F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Tablica nr 1  Wskaźniki rentowności przedsiębiorstw a wzrost gospodarczy Polski w latach 2004-2011</w:t>
      </w:r>
    </w:p>
    <w:p w:rsidR="00A0508E" w:rsidRPr="006A0EB9" w:rsidRDefault="00A0508E" w:rsidP="000502F8">
      <w:pPr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91"/>
        <w:gridCol w:w="1076"/>
        <w:gridCol w:w="1076"/>
        <w:gridCol w:w="1077"/>
        <w:gridCol w:w="1077"/>
        <w:gridCol w:w="1077"/>
        <w:gridCol w:w="1077"/>
        <w:gridCol w:w="1077"/>
      </w:tblGrid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Wielkości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Rentowności</w:t>
            </w:r>
          </w:p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Obrotu brutto</w:t>
            </w:r>
            <w:r w:rsidR="007415B2"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%</w:t>
            </w:r>
          </w:p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Małe przed.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 tym mikro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68" w:type="dxa"/>
          </w:tcPr>
          <w:p w:rsidR="00A0508E" w:rsidRPr="006A0EB9" w:rsidRDefault="0087191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="007415B2"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mld PLN</w:t>
            </w:r>
          </w:p>
        </w:tc>
        <w:tc>
          <w:tcPr>
            <w:tcW w:w="1768" w:type="dxa"/>
          </w:tcPr>
          <w:p w:rsidR="00A0508E" w:rsidRPr="006A0EB9" w:rsidRDefault="007415B2" w:rsidP="0074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2103,1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2264,4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2558,7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2888,8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3213,8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3079,6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3297,3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Małe przed.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865,6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875,6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1053,2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1210,8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1116,6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1168,9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 tym mikro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541,3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  <w:tc>
          <w:tcPr>
            <w:tcW w:w="1768" w:type="dxa"/>
          </w:tcPr>
          <w:p w:rsidR="00A0508E" w:rsidRPr="006A0EB9" w:rsidRDefault="00745B33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1768" w:type="dxa"/>
          </w:tcPr>
          <w:p w:rsidR="00A0508E" w:rsidRPr="006A0EB9" w:rsidRDefault="00745B33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746,5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669,1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719,9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478,1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768" w:type="dxa"/>
          </w:tcPr>
          <w:p w:rsidR="00A0508E" w:rsidRPr="006A0EB9" w:rsidRDefault="00745B33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768" w:type="dxa"/>
          </w:tcPr>
          <w:p w:rsidR="00A0508E" w:rsidRPr="006A0EB9" w:rsidRDefault="00745B33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652,5</w:t>
            </w:r>
          </w:p>
        </w:tc>
        <w:tc>
          <w:tcPr>
            <w:tcW w:w="1768" w:type="dxa"/>
          </w:tcPr>
          <w:p w:rsidR="00A0508E" w:rsidRPr="006A0EB9" w:rsidRDefault="00745B33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656,8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689.1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840,3</w:t>
            </w:r>
          </w:p>
        </w:tc>
        <w:tc>
          <w:tcPr>
            <w:tcW w:w="1768" w:type="dxa"/>
          </w:tcPr>
          <w:p w:rsidR="00A0508E" w:rsidRPr="006A0EB9" w:rsidRDefault="007415B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887,4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1020,5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1302,2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1306,3</w:t>
            </w:r>
          </w:p>
        </w:tc>
        <w:tc>
          <w:tcPr>
            <w:tcW w:w="1768" w:type="dxa"/>
          </w:tcPr>
          <w:p w:rsidR="00A0508E" w:rsidRPr="006A0EB9" w:rsidRDefault="00D87064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1439,4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Zysk brutto</w:t>
            </w:r>
          </w:p>
          <w:p w:rsidR="00A0508E" w:rsidRPr="006A0EB9" w:rsidRDefault="00A0508E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CA435B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W mld PLN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768" w:type="dxa"/>
          </w:tcPr>
          <w:p w:rsidR="00A0508E" w:rsidRPr="006A0EB9" w:rsidRDefault="00C7480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172,01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Małe przed.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768" w:type="dxa"/>
          </w:tcPr>
          <w:p w:rsidR="00A0508E" w:rsidRPr="006A0EB9" w:rsidRDefault="00C7480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 tym mikro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768" w:type="dxa"/>
          </w:tcPr>
          <w:p w:rsidR="00A0508E" w:rsidRPr="006A0EB9" w:rsidRDefault="00C7480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68" w:type="dxa"/>
          </w:tcPr>
          <w:p w:rsidR="00A0508E" w:rsidRPr="006A0EB9" w:rsidRDefault="00C7480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C05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768" w:type="dxa"/>
          </w:tcPr>
          <w:p w:rsidR="00A0508E" w:rsidRPr="006A0EB9" w:rsidRDefault="00C7480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768" w:type="dxa"/>
          </w:tcPr>
          <w:p w:rsidR="00A0508E" w:rsidRPr="006A0EB9" w:rsidRDefault="00086A4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68" w:type="dxa"/>
          </w:tcPr>
          <w:p w:rsidR="00A0508E" w:rsidRPr="006A0EB9" w:rsidRDefault="00EE6A6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Default="00C05B56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Inwestycje</w:t>
            </w:r>
          </w:p>
          <w:p w:rsidR="00C05B56" w:rsidRDefault="00C05B56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936586" w:rsidRPr="006A0EB9" w:rsidRDefault="0093658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mld PLN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Małe przed.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 tym mikro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768" w:type="dxa"/>
          </w:tcPr>
          <w:p w:rsidR="00A0508E" w:rsidRPr="006A0EB9" w:rsidRDefault="00A61C32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768" w:type="dxa"/>
          </w:tcPr>
          <w:p w:rsidR="00A0508E" w:rsidRPr="006A0EB9" w:rsidRDefault="00E15A4F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768" w:type="dxa"/>
          </w:tcPr>
          <w:p w:rsidR="00A0508E" w:rsidRPr="006A0EB9" w:rsidRDefault="0000238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768" w:type="dxa"/>
          </w:tcPr>
          <w:p w:rsidR="00A0508E" w:rsidRPr="006A0EB9" w:rsidRDefault="000D257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C05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Liczba przed.</w:t>
            </w:r>
          </w:p>
          <w:p w:rsidR="00C05B56" w:rsidRPr="006A0EB9" w:rsidRDefault="00C05B56" w:rsidP="00C05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1714983</w:t>
            </w:r>
          </w:p>
        </w:tc>
        <w:tc>
          <w:tcPr>
            <w:tcW w:w="1768" w:type="dxa"/>
          </w:tcPr>
          <w:p w:rsidR="00A0508E" w:rsidRPr="006A0EB9" w:rsidRDefault="00F66DC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1676775</w:t>
            </w:r>
          </w:p>
        </w:tc>
        <w:tc>
          <w:tcPr>
            <w:tcW w:w="1768" w:type="dxa"/>
          </w:tcPr>
          <w:p w:rsidR="00A0508E" w:rsidRPr="006A0EB9" w:rsidRDefault="0086001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4BEA" w:rsidRPr="006A0EB9">
              <w:rPr>
                <w:rFonts w:ascii="Times New Roman" w:hAnsi="Times New Roman" w:cs="Times New Roman"/>
                <w:sz w:val="20"/>
                <w:szCs w:val="20"/>
              </w:rPr>
              <w:t>14915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1777076</w:t>
            </w:r>
          </w:p>
        </w:tc>
        <w:tc>
          <w:tcPr>
            <w:tcW w:w="1768" w:type="dxa"/>
          </w:tcPr>
          <w:p w:rsidR="00A0508E" w:rsidRPr="006A0EB9" w:rsidRDefault="007C64F8" w:rsidP="007C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1788336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1673522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1726663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Małe przed.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1698225</w:t>
            </w:r>
          </w:p>
        </w:tc>
        <w:tc>
          <w:tcPr>
            <w:tcW w:w="1768" w:type="dxa"/>
          </w:tcPr>
          <w:p w:rsidR="00A0508E" w:rsidRPr="006A0EB9" w:rsidRDefault="00F66DC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1659686</w:t>
            </w:r>
          </w:p>
        </w:tc>
        <w:tc>
          <w:tcPr>
            <w:tcW w:w="1768" w:type="dxa"/>
          </w:tcPr>
          <w:p w:rsidR="00A0508E" w:rsidRPr="006A0EB9" w:rsidRDefault="0086001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1697226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1758378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4F8">
              <w:rPr>
                <w:rFonts w:ascii="Times New Roman" w:hAnsi="Times New Roman" w:cs="Times New Roman"/>
                <w:sz w:val="20"/>
                <w:szCs w:val="20"/>
              </w:rPr>
              <w:t>764051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1654606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1707655</w:t>
            </w:r>
          </w:p>
        </w:tc>
      </w:tr>
      <w:tr w:rsidR="00454BEA" w:rsidRPr="006A0EB9" w:rsidTr="00A0508E">
        <w:tc>
          <w:tcPr>
            <w:tcW w:w="1768" w:type="dxa"/>
          </w:tcPr>
          <w:p w:rsidR="00A0508E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W tym mikro</w:t>
            </w:r>
          </w:p>
        </w:tc>
        <w:tc>
          <w:tcPr>
            <w:tcW w:w="1768" w:type="dxa"/>
          </w:tcPr>
          <w:p w:rsidR="00A0508E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1653856</w:t>
            </w:r>
          </w:p>
        </w:tc>
        <w:tc>
          <w:tcPr>
            <w:tcW w:w="1768" w:type="dxa"/>
          </w:tcPr>
          <w:p w:rsidR="00A0508E" w:rsidRPr="006A0EB9" w:rsidRDefault="00F66DC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1615167</w:t>
            </w:r>
          </w:p>
        </w:tc>
        <w:tc>
          <w:tcPr>
            <w:tcW w:w="1768" w:type="dxa"/>
          </w:tcPr>
          <w:p w:rsidR="00A0508E" w:rsidRPr="006A0EB9" w:rsidRDefault="0086001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1652998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1713194</w:t>
            </w:r>
          </w:p>
        </w:tc>
        <w:tc>
          <w:tcPr>
            <w:tcW w:w="1768" w:type="dxa"/>
          </w:tcPr>
          <w:p w:rsidR="00A0508E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C64F8">
              <w:rPr>
                <w:rFonts w:ascii="Times New Roman" w:hAnsi="Times New Roman" w:cs="Times New Roman"/>
                <w:sz w:val="20"/>
                <w:szCs w:val="20"/>
              </w:rPr>
              <w:t>14789</w:t>
            </w:r>
          </w:p>
        </w:tc>
        <w:tc>
          <w:tcPr>
            <w:tcW w:w="1768" w:type="dxa"/>
          </w:tcPr>
          <w:p w:rsidR="00A0508E" w:rsidRPr="006A0EB9" w:rsidRDefault="007C64F8" w:rsidP="007C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1604271</w:t>
            </w:r>
          </w:p>
        </w:tc>
        <w:tc>
          <w:tcPr>
            <w:tcW w:w="1768" w:type="dxa"/>
          </w:tcPr>
          <w:p w:rsidR="00A0508E" w:rsidRPr="006A0EB9" w:rsidRDefault="0040637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1655064</w:t>
            </w:r>
          </w:p>
        </w:tc>
      </w:tr>
      <w:tr w:rsidR="006A0EB9" w:rsidRPr="006A0EB9" w:rsidTr="00A0508E">
        <w:tc>
          <w:tcPr>
            <w:tcW w:w="1768" w:type="dxa"/>
          </w:tcPr>
          <w:p w:rsidR="00C05B56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Średnie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14003</w:t>
            </w:r>
          </w:p>
        </w:tc>
        <w:tc>
          <w:tcPr>
            <w:tcW w:w="1768" w:type="dxa"/>
          </w:tcPr>
          <w:p w:rsidR="00C05B56" w:rsidRPr="006A0EB9" w:rsidRDefault="00F66DC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14254</w:t>
            </w:r>
          </w:p>
        </w:tc>
        <w:tc>
          <w:tcPr>
            <w:tcW w:w="1768" w:type="dxa"/>
          </w:tcPr>
          <w:p w:rsidR="00C05B56" w:rsidRPr="006A0EB9" w:rsidRDefault="0086001E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14708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15452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C64F8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15808</w:t>
            </w:r>
          </w:p>
        </w:tc>
        <w:tc>
          <w:tcPr>
            <w:tcW w:w="1768" w:type="dxa"/>
          </w:tcPr>
          <w:p w:rsidR="00C05B56" w:rsidRPr="006A0EB9" w:rsidRDefault="0040637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15841</w:t>
            </w:r>
          </w:p>
        </w:tc>
      </w:tr>
      <w:tr w:rsidR="006A0EB9" w:rsidRPr="006A0EB9" w:rsidTr="00A0508E">
        <w:tc>
          <w:tcPr>
            <w:tcW w:w="1768" w:type="dxa"/>
          </w:tcPr>
          <w:p w:rsidR="00C05B56" w:rsidRPr="006A0EB9" w:rsidRDefault="00C05B5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1768" w:type="dxa"/>
          </w:tcPr>
          <w:p w:rsidR="00C05B56" w:rsidRPr="006A0EB9" w:rsidRDefault="00F66DC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C64F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68" w:type="dxa"/>
          </w:tcPr>
          <w:p w:rsidR="00C05B56" w:rsidRPr="006A0EB9" w:rsidRDefault="00454BEA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1768" w:type="dxa"/>
          </w:tcPr>
          <w:p w:rsidR="00C05B56" w:rsidRPr="006A0EB9" w:rsidRDefault="00406376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</w:tr>
      <w:tr w:rsidR="006A0EB9" w:rsidRPr="006A0EB9" w:rsidTr="00A0508E">
        <w:tc>
          <w:tcPr>
            <w:tcW w:w="1768" w:type="dxa"/>
          </w:tcPr>
          <w:p w:rsidR="00C05B56" w:rsidRPr="006A0EB9" w:rsidRDefault="00C05B56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Deflator</w:t>
            </w:r>
            <w:proofErr w:type="spellEnd"/>
            <w:r w:rsidR="00CA435B"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w%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A0EB9" w:rsidRPr="006A0EB9" w:rsidTr="00A0508E">
        <w:tc>
          <w:tcPr>
            <w:tcW w:w="1768" w:type="dxa"/>
          </w:tcPr>
          <w:p w:rsidR="00CA435B" w:rsidRDefault="00C05B56" w:rsidP="006A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Wzrost PKB</w:t>
            </w:r>
          </w:p>
          <w:p w:rsidR="00936586" w:rsidRPr="006A0EB9" w:rsidRDefault="00936586" w:rsidP="006A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768" w:type="dxa"/>
          </w:tcPr>
          <w:p w:rsidR="00C05B56" w:rsidRPr="006A0EB9" w:rsidRDefault="00F33697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768" w:type="dxa"/>
          </w:tcPr>
          <w:p w:rsidR="00C05B56" w:rsidRPr="006A0EB9" w:rsidRDefault="00CA435B" w:rsidP="00A05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EB9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</w:tbl>
    <w:p w:rsidR="00A0508E" w:rsidRDefault="00A0508E" w:rsidP="00A0508E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7C5B2F" w:rsidRPr="00215E16" w:rsidRDefault="00215E16" w:rsidP="001203C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</w:t>
      </w:r>
      <w:r w:rsidR="001203C9">
        <w:rPr>
          <w:rFonts w:ascii="Times New Roman" w:hAnsi="Times New Roman" w:cs="Times New Roman"/>
          <w:sz w:val="28"/>
          <w:szCs w:val="28"/>
        </w:rPr>
        <w:t xml:space="preserve">dło: Na podstawie danych GUS zamieszczanych w </w:t>
      </w:r>
      <w:r w:rsidR="001203C9">
        <w:rPr>
          <w:rFonts w:ascii="Times New Roman" w:hAnsi="Times New Roman" w:cs="Times New Roman"/>
          <w:i/>
          <w:sz w:val="28"/>
          <w:szCs w:val="28"/>
        </w:rPr>
        <w:t>Analizach działalności przedsiębiorstw niefinansowych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opracowanie własne</w:t>
      </w:r>
    </w:p>
    <w:p w:rsidR="007C5B2F" w:rsidRPr="007C5B2F" w:rsidRDefault="007C5B2F" w:rsidP="007C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86D" w:rsidRDefault="00215E16" w:rsidP="006C19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186D" w:rsidRDefault="0000186D" w:rsidP="000018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ostatnich latach utrzymuje się więc wysoka rentowność polskich przedsiębiorstw, mierzona wprawdzie tutaj dość prymitywnym wskaźnikiem, rentowności obrotu brutto (brutto a nie netto – ponieważ to jaką stawkę CIT czy PIT ustali państwo to inne kwestia, jakkolwiek mająca wpływ na motywację przedsiębiorstw do większego lub mniejszego zysku).</w:t>
      </w:r>
    </w:p>
    <w:p w:rsidR="00383428" w:rsidRDefault="00215E16" w:rsidP="000018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w „ściądze” kończą się na roku 2010, ale na podstawie wstępnych szacunków można powiedzieć, że w roku 2011 są one jeszcze lepsze, a więc np. we wskaźnikach ROS brutto bardzo dobre. O ile więc na początku transformacji </w:t>
      </w:r>
      <w:r w:rsidR="00D008D9">
        <w:rPr>
          <w:rFonts w:ascii="Times New Roman" w:hAnsi="Times New Roman" w:cs="Times New Roman"/>
          <w:sz w:val="28"/>
          <w:szCs w:val="28"/>
        </w:rPr>
        <w:t xml:space="preserve">– </w:t>
      </w:r>
      <w:r w:rsidR="00D008D9">
        <w:rPr>
          <w:rFonts w:ascii="Times New Roman" w:hAnsi="Times New Roman" w:cs="Times New Roman"/>
          <w:b/>
          <w:sz w:val="28"/>
          <w:szCs w:val="28"/>
        </w:rPr>
        <w:t xml:space="preserve">w okresie który określimy pierwszą falą przedsiębiorczości i przedsiębiorstw - </w:t>
      </w:r>
      <w:r w:rsidR="00D008D9">
        <w:rPr>
          <w:rFonts w:ascii="Times New Roman" w:hAnsi="Times New Roman" w:cs="Times New Roman"/>
          <w:sz w:val="28"/>
          <w:szCs w:val="28"/>
        </w:rPr>
        <w:t>wskaźniki ROS brutto wynosiły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4E">
        <w:rPr>
          <w:rFonts w:ascii="Times New Roman" w:hAnsi="Times New Roman" w:cs="Times New Roman"/>
          <w:sz w:val="28"/>
          <w:szCs w:val="28"/>
        </w:rPr>
        <w:t xml:space="preserve">przeciętnie 4% i mniej, a w latach 1999-2002 zaczęły spadać poniżej 1,0% (sic!), to teraz </w:t>
      </w:r>
      <w:r w:rsidR="00D008D9">
        <w:rPr>
          <w:rFonts w:ascii="Times New Roman" w:hAnsi="Times New Roman" w:cs="Times New Roman"/>
          <w:sz w:val="28"/>
          <w:szCs w:val="28"/>
        </w:rPr>
        <w:t xml:space="preserve">– </w:t>
      </w:r>
      <w:r w:rsidR="00D008D9">
        <w:rPr>
          <w:rFonts w:ascii="Times New Roman" w:hAnsi="Times New Roman" w:cs="Times New Roman"/>
          <w:b/>
          <w:sz w:val="28"/>
          <w:szCs w:val="28"/>
        </w:rPr>
        <w:t xml:space="preserve">w okresie który określimy drugą falą przedsiębiorczości - </w:t>
      </w:r>
      <w:r w:rsidR="006C194E">
        <w:rPr>
          <w:rFonts w:ascii="Times New Roman" w:hAnsi="Times New Roman" w:cs="Times New Roman"/>
          <w:sz w:val="28"/>
          <w:szCs w:val="28"/>
        </w:rPr>
        <w:t xml:space="preserve">są one </w:t>
      </w:r>
      <w:r w:rsidR="00D008D9">
        <w:rPr>
          <w:rFonts w:ascii="Times New Roman" w:hAnsi="Times New Roman" w:cs="Times New Roman"/>
          <w:sz w:val="28"/>
          <w:szCs w:val="28"/>
        </w:rPr>
        <w:t xml:space="preserve">na poziomie 8-9%, a </w:t>
      </w:r>
      <w:r w:rsidR="006C194E">
        <w:rPr>
          <w:rFonts w:ascii="Times New Roman" w:hAnsi="Times New Roman" w:cs="Times New Roman"/>
          <w:sz w:val="28"/>
          <w:szCs w:val="28"/>
        </w:rPr>
        <w:t xml:space="preserve"> więc na bardzo wysokim poziomie. Podobnie w porównaniu z krajami „starymi” i „nowymi” Unii Europejskiej wskaźniki te </w:t>
      </w:r>
      <w:r w:rsidR="000D3960">
        <w:rPr>
          <w:rFonts w:ascii="Times New Roman" w:hAnsi="Times New Roman" w:cs="Times New Roman"/>
          <w:sz w:val="28"/>
          <w:szCs w:val="28"/>
        </w:rPr>
        <w:t xml:space="preserve">są </w:t>
      </w:r>
      <w:r w:rsidR="006C194E">
        <w:rPr>
          <w:rFonts w:ascii="Times New Roman" w:hAnsi="Times New Roman" w:cs="Times New Roman"/>
          <w:sz w:val="28"/>
          <w:szCs w:val="28"/>
        </w:rPr>
        <w:t xml:space="preserve">na wyższym poziomie, albo niekiedy podobnym – gdy dotyczy to okresów i krajów, w których były one wysokie. Wprawdzie w porównaniu do krajów Unii Monetarnej mamy do czynienia z innym benchmarkiem, w krajach tych stopa procentowa EBC jest bardzo niska i nawet przy niższej inflacji </w:t>
      </w:r>
      <w:r w:rsidR="0000186D">
        <w:rPr>
          <w:rFonts w:ascii="Times New Roman" w:hAnsi="Times New Roman" w:cs="Times New Roman"/>
          <w:sz w:val="28"/>
          <w:szCs w:val="28"/>
        </w:rPr>
        <w:t>porównujemy się</w:t>
      </w:r>
      <w:r w:rsidR="006C194E">
        <w:rPr>
          <w:rFonts w:ascii="Times New Roman" w:hAnsi="Times New Roman" w:cs="Times New Roman"/>
          <w:sz w:val="28"/>
          <w:szCs w:val="28"/>
        </w:rPr>
        <w:t xml:space="preserve"> z niższą realną stopą procentową</w:t>
      </w:r>
      <w:r w:rsidR="006C194E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="006C194E">
        <w:rPr>
          <w:rFonts w:ascii="Times New Roman" w:hAnsi="Times New Roman" w:cs="Times New Roman"/>
          <w:sz w:val="28"/>
          <w:szCs w:val="28"/>
        </w:rPr>
        <w:t xml:space="preserve"> </w:t>
      </w:r>
      <w:r w:rsidR="00320B54">
        <w:rPr>
          <w:rFonts w:ascii="Times New Roman" w:hAnsi="Times New Roman" w:cs="Times New Roman"/>
          <w:sz w:val="28"/>
          <w:szCs w:val="28"/>
        </w:rPr>
        <w:t>, to i tak polski ROS brutto przedstawia się imponująco (a tym bardziej ROS netto – dzięki Grzegorzowi W. Kołodko).</w:t>
      </w:r>
    </w:p>
    <w:p w:rsidR="000D3960" w:rsidRDefault="000D3960" w:rsidP="006C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Pochodnymi dobrych wskaźników ROS brutto przedsiębiorstw w Polsce są dobre wyniki prawdopodobieństwa bankructwa przedsiębiorstw</w:t>
      </w:r>
      <w:r w:rsidR="0000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np. metodą Altmana czy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impairment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banków komercyjnych w kredytach korporacyjnych, który w roku 2011 ogromnie spadł, przyczyniając się do rekordowych zysków sektora bankowego w Polsce.</w:t>
      </w:r>
      <w:r w:rsidR="00AE19E4">
        <w:rPr>
          <w:rFonts w:ascii="Times New Roman" w:hAnsi="Times New Roman" w:cs="Times New Roman"/>
          <w:sz w:val="28"/>
          <w:szCs w:val="28"/>
        </w:rPr>
        <w:t xml:space="preserve"> Podobnie rekordowe wyniki eksportowe polskich </w:t>
      </w:r>
      <w:r w:rsidR="00AE19E4">
        <w:rPr>
          <w:rFonts w:ascii="Times New Roman" w:hAnsi="Times New Roman" w:cs="Times New Roman"/>
          <w:sz w:val="28"/>
          <w:szCs w:val="28"/>
        </w:rPr>
        <w:lastRenderedPageBreak/>
        <w:t xml:space="preserve">przedsiębiorstw trudno przytaczać na rzecz tezy głoszącej słabą kondycję finansową i konkurencyjną polskich przedsiębiorstw. </w:t>
      </w:r>
    </w:p>
    <w:p w:rsidR="00E82BC7" w:rsidRDefault="00E82BC7" w:rsidP="006C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Najgorzej kondycję i potencjał strategiczny polskich przedsiębiorstw, przedsiębiorcze mikroekonomiczne podstawy polskiej gospodarki, ocenia kapitał zagraniczny…</w:t>
      </w:r>
      <w:r w:rsidR="007933F6">
        <w:rPr>
          <w:rFonts w:ascii="Times New Roman" w:hAnsi="Times New Roman" w:cs="Times New Roman"/>
          <w:sz w:val="28"/>
          <w:szCs w:val="28"/>
        </w:rPr>
        <w:t xml:space="preserve"> Próbując poważnie zastanawiać się nad tą oceną - nie ułatwiamy sobie zadania dodając: „spekulacyjny kapitał”.</w:t>
      </w:r>
      <w:r w:rsidR="0038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1A" w:rsidRDefault="00385D1A" w:rsidP="006C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szczytowym okresie sztucznej dobrej koniunktury połowy lat dziesiątych, w czerwcu 2007 roku WIG 20 przekraczał 4000 punktów, i na ten poziom wspiął się jeszcze na chwilę za kilka miesięcy, mimo że banki światowe  już głowiły się nad tym jak ukryć/ujawnić rekordowe miliardowe straty. </w:t>
      </w:r>
      <w:r w:rsidR="00692A71">
        <w:rPr>
          <w:rFonts w:ascii="Times New Roman" w:hAnsi="Times New Roman" w:cs="Times New Roman"/>
          <w:sz w:val="28"/>
          <w:szCs w:val="28"/>
        </w:rPr>
        <w:t>Jeśli nawet ten wysoki rekordowy  poziom WIG</w:t>
      </w:r>
      <w:r w:rsidR="00D008D9">
        <w:rPr>
          <w:rFonts w:ascii="Times New Roman" w:hAnsi="Times New Roman" w:cs="Times New Roman"/>
          <w:sz w:val="28"/>
          <w:szCs w:val="28"/>
        </w:rPr>
        <w:t xml:space="preserve"> </w:t>
      </w:r>
      <w:r w:rsidR="00692A71">
        <w:rPr>
          <w:rFonts w:ascii="Times New Roman" w:hAnsi="Times New Roman" w:cs="Times New Roman"/>
          <w:sz w:val="28"/>
          <w:szCs w:val="28"/>
        </w:rPr>
        <w:t>20 był ewidentnie silnie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71">
        <w:rPr>
          <w:rFonts w:ascii="Times New Roman" w:hAnsi="Times New Roman" w:cs="Times New Roman"/>
          <w:sz w:val="28"/>
          <w:szCs w:val="28"/>
        </w:rPr>
        <w:t xml:space="preserve">spekulacyjnie przestrzelony, to jednakże ocena światowego kapitału (mającego od 35 do 40% udziałów w zakupach na polskiej giełdzie), jest wybitnie kontrowersyjna. </w:t>
      </w:r>
    </w:p>
    <w:p w:rsidR="00B52510" w:rsidRPr="00786D45" w:rsidRDefault="00B52510" w:rsidP="006C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Wynika to ze zmiany sposobu funkcjonowania światowych gospodarek, a przede wszystkim światowych rynków i przedsiębiorstw, istotnie modyfikujących reguły gry znane nawet z dobrych podręczników ekonomii.</w:t>
      </w:r>
      <w:r w:rsidR="007473BC">
        <w:rPr>
          <w:rFonts w:ascii="Times New Roman" w:hAnsi="Times New Roman" w:cs="Times New Roman"/>
          <w:sz w:val="28"/>
          <w:szCs w:val="28"/>
        </w:rPr>
        <w:t xml:space="preserve"> </w:t>
      </w:r>
      <w:r w:rsidR="00147B64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="00147B64">
        <w:rPr>
          <w:rFonts w:ascii="Times New Roman" w:hAnsi="Times New Roman" w:cs="Times New Roman"/>
          <w:sz w:val="28"/>
          <w:szCs w:val="28"/>
        </w:rPr>
        <w:t>Akerloff</w:t>
      </w:r>
      <w:proofErr w:type="spellEnd"/>
      <w:r w:rsidR="00147B64">
        <w:rPr>
          <w:rFonts w:ascii="Times New Roman" w:hAnsi="Times New Roman" w:cs="Times New Roman"/>
          <w:sz w:val="28"/>
          <w:szCs w:val="28"/>
        </w:rPr>
        <w:t xml:space="preserve"> i R. J. </w:t>
      </w:r>
      <w:proofErr w:type="spellStart"/>
      <w:r w:rsidR="00147B64">
        <w:rPr>
          <w:rFonts w:ascii="Times New Roman" w:hAnsi="Times New Roman" w:cs="Times New Roman"/>
          <w:sz w:val="28"/>
          <w:szCs w:val="28"/>
        </w:rPr>
        <w:t>Shiller</w:t>
      </w:r>
      <w:proofErr w:type="spellEnd"/>
      <w:r w:rsidR="00786D45">
        <w:rPr>
          <w:rFonts w:ascii="Times New Roman" w:hAnsi="Times New Roman" w:cs="Times New Roman"/>
          <w:sz w:val="28"/>
          <w:szCs w:val="28"/>
        </w:rPr>
        <w:t>, a więc dwie potężne postacie współczesnej teorii ekonomii,</w:t>
      </w:r>
      <w:r w:rsidR="00147B64">
        <w:rPr>
          <w:rFonts w:ascii="Times New Roman" w:hAnsi="Times New Roman" w:cs="Times New Roman"/>
          <w:sz w:val="28"/>
          <w:szCs w:val="28"/>
        </w:rPr>
        <w:t xml:space="preserve"> w</w:t>
      </w:r>
      <w:r w:rsidR="007473BC">
        <w:rPr>
          <w:rFonts w:ascii="Times New Roman" w:hAnsi="Times New Roman" w:cs="Times New Roman"/>
          <w:sz w:val="28"/>
          <w:szCs w:val="28"/>
        </w:rPr>
        <w:t xml:space="preserve"> przyspieszonym tempie opisują </w:t>
      </w:r>
      <w:r w:rsidR="00147B64">
        <w:rPr>
          <w:rFonts w:ascii="Times New Roman" w:hAnsi="Times New Roman" w:cs="Times New Roman"/>
          <w:sz w:val="28"/>
          <w:szCs w:val="28"/>
        </w:rPr>
        <w:t xml:space="preserve">te </w:t>
      </w:r>
      <w:r w:rsidR="007473BC">
        <w:rPr>
          <w:rFonts w:ascii="Times New Roman" w:hAnsi="Times New Roman" w:cs="Times New Roman"/>
          <w:sz w:val="28"/>
          <w:szCs w:val="28"/>
        </w:rPr>
        <w:t>nowe reguły</w:t>
      </w:r>
      <w:r w:rsidR="00147B64">
        <w:rPr>
          <w:rFonts w:ascii="Times New Roman" w:hAnsi="Times New Roman" w:cs="Times New Roman"/>
          <w:sz w:val="28"/>
          <w:szCs w:val="28"/>
        </w:rPr>
        <w:t xml:space="preserve"> n</w:t>
      </w:r>
      <w:r w:rsidR="007473BC">
        <w:rPr>
          <w:rFonts w:ascii="Times New Roman" w:hAnsi="Times New Roman" w:cs="Times New Roman"/>
          <w:sz w:val="28"/>
          <w:szCs w:val="28"/>
        </w:rPr>
        <w:t xml:space="preserve">p. </w:t>
      </w:r>
      <w:r w:rsidR="00D008D9">
        <w:rPr>
          <w:rFonts w:ascii="Times New Roman" w:hAnsi="Times New Roman" w:cs="Times New Roman"/>
          <w:sz w:val="28"/>
          <w:szCs w:val="28"/>
        </w:rPr>
        <w:t xml:space="preserve">wskazując, </w:t>
      </w:r>
      <w:r w:rsidR="00147B64">
        <w:rPr>
          <w:rFonts w:ascii="Times New Roman" w:hAnsi="Times New Roman" w:cs="Times New Roman"/>
          <w:sz w:val="28"/>
          <w:szCs w:val="28"/>
        </w:rPr>
        <w:t xml:space="preserve"> że rynkami aktywów nie kierują </w:t>
      </w:r>
      <w:r w:rsidR="00D008D9">
        <w:rPr>
          <w:rFonts w:ascii="Times New Roman" w:hAnsi="Times New Roman" w:cs="Times New Roman"/>
          <w:sz w:val="28"/>
          <w:szCs w:val="28"/>
        </w:rPr>
        <w:t xml:space="preserve">podręcznikowe </w:t>
      </w:r>
      <w:r w:rsidR="00147B64">
        <w:rPr>
          <w:rFonts w:ascii="Times New Roman" w:hAnsi="Times New Roman" w:cs="Times New Roman"/>
          <w:sz w:val="28"/>
          <w:szCs w:val="28"/>
        </w:rPr>
        <w:t xml:space="preserve">równowagowe mechanizmy arbitrażu cen, ale ceny, zmieniają się pod wpływem zróżnicowanego zaufania i jego mnożnikowych efektów, </w:t>
      </w:r>
      <w:r w:rsidR="00786D45">
        <w:rPr>
          <w:rFonts w:ascii="Times New Roman" w:hAnsi="Times New Roman" w:cs="Times New Roman"/>
          <w:sz w:val="28"/>
          <w:szCs w:val="28"/>
        </w:rPr>
        <w:t>różnego przekonania o uczciwości partnerów rynkowych, nielegalnych praktyk różnych podmiotów gospodarczych, kierowania się złudzeniem nominalnych wielkości oraz pod wpływem różnych plotek, „teoryjek” itp.</w:t>
      </w:r>
      <w:r w:rsidR="00786D4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="00786D45">
        <w:rPr>
          <w:rFonts w:ascii="Times New Roman" w:hAnsi="Times New Roman" w:cs="Times New Roman"/>
          <w:sz w:val="28"/>
          <w:szCs w:val="28"/>
        </w:rPr>
        <w:t xml:space="preserve"> </w:t>
      </w:r>
      <w:r w:rsidR="00147B64">
        <w:rPr>
          <w:rFonts w:ascii="Times New Roman" w:hAnsi="Times New Roman" w:cs="Times New Roman"/>
          <w:sz w:val="28"/>
          <w:szCs w:val="28"/>
        </w:rPr>
        <w:t xml:space="preserve"> </w:t>
      </w:r>
      <w:r w:rsidR="00786D45">
        <w:rPr>
          <w:rFonts w:ascii="Times New Roman" w:hAnsi="Times New Roman" w:cs="Times New Roman"/>
          <w:sz w:val="28"/>
          <w:szCs w:val="28"/>
        </w:rPr>
        <w:t xml:space="preserve">Szef polskiej giełdy  L. Sobolewski ukuł natomiast termin: </w:t>
      </w:r>
      <w:r w:rsidR="00786D45">
        <w:rPr>
          <w:rFonts w:ascii="Times New Roman" w:hAnsi="Times New Roman" w:cs="Times New Roman"/>
          <w:i/>
          <w:sz w:val="28"/>
          <w:szCs w:val="28"/>
        </w:rPr>
        <w:t>efekt mamy</w:t>
      </w:r>
      <w:r w:rsidR="00786D45">
        <w:rPr>
          <w:rFonts w:ascii="Times New Roman" w:hAnsi="Times New Roman" w:cs="Times New Roman"/>
          <w:sz w:val="28"/>
          <w:szCs w:val="28"/>
        </w:rPr>
        <w:t>, polegający na tym, że ten wielki współczesny światowy kapitał woli jak dziecko uciekać do płonącej w pożarze mamy</w:t>
      </w:r>
      <w:r w:rsidR="00D008D9">
        <w:rPr>
          <w:rFonts w:ascii="Times New Roman" w:hAnsi="Times New Roman" w:cs="Times New Roman"/>
          <w:sz w:val="28"/>
          <w:szCs w:val="28"/>
        </w:rPr>
        <w:t xml:space="preserve"> (np. do USA)</w:t>
      </w:r>
      <w:r w:rsidR="00786D45">
        <w:rPr>
          <w:rFonts w:ascii="Times New Roman" w:hAnsi="Times New Roman" w:cs="Times New Roman"/>
          <w:sz w:val="28"/>
          <w:szCs w:val="28"/>
        </w:rPr>
        <w:t xml:space="preserve">, niż </w:t>
      </w:r>
      <w:r w:rsidR="00786D45">
        <w:rPr>
          <w:rFonts w:ascii="Times New Roman" w:hAnsi="Times New Roman" w:cs="Times New Roman"/>
          <w:sz w:val="28"/>
          <w:szCs w:val="28"/>
        </w:rPr>
        <w:lastRenderedPageBreak/>
        <w:t>np. alokować się w dobrze prosperujące  przedsiębiorstwa np. na GPW w Warszawie.</w:t>
      </w:r>
      <w:r w:rsidR="0034739A">
        <w:rPr>
          <w:rFonts w:ascii="Times New Roman" w:hAnsi="Times New Roman" w:cs="Times New Roman"/>
          <w:sz w:val="28"/>
          <w:szCs w:val="28"/>
        </w:rPr>
        <w:t xml:space="preserve"> Problem jest teoretycznie pasjonujący, ponieważ ten kapitał kreujący swoiste 2.0 oddzielenie się własności od zarządzania, nie spełni</w:t>
      </w:r>
      <w:r w:rsidR="00FC431F">
        <w:rPr>
          <w:rFonts w:ascii="Times New Roman" w:hAnsi="Times New Roman" w:cs="Times New Roman"/>
          <w:sz w:val="28"/>
          <w:szCs w:val="28"/>
        </w:rPr>
        <w:t>a</w:t>
      </w:r>
      <w:r w:rsidR="0034739A">
        <w:rPr>
          <w:rFonts w:ascii="Times New Roman" w:hAnsi="Times New Roman" w:cs="Times New Roman"/>
          <w:sz w:val="28"/>
          <w:szCs w:val="28"/>
        </w:rPr>
        <w:t xml:space="preserve"> tradycyjnej, dobrej (pańskie oko…) </w:t>
      </w:r>
      <w:r w:rsidR="00D008D9">
        <w:rPr>
          <w:rFonts w:ascii="Times New Roman" w:hAnsi="Times New Roman" w:cs="Times New Roman"/>
          <w:sz w:val="28"/>
          <w:szCs w:val="28"/>
        </w:rPr>
        <w:t xml:space="preserve">funkcji </w:t>
      </w:r>
      <w:r w:rsidR="0034739A">
        <w:rPr>
          <w:rFonts w:ascii="Times New Roman" w:hAnsi="Times New Roman" w:cs="Times New Roman"/>
          <w:sz w:val="28"/>
          <w:szCs w:val="28"/>
        </w:rPr>
        <w:t>właścicielskiej. Jego „opinii” nie można też traktować długookresowo jako przydatnej dla oceny rozwojowych szans przedsiębiorstw.</w:t>
      </w:r>
    </w:p>
    <w:p w:rsidR="00054C53" w:rsidRPr="00215E16" w:rsidRDefault="00054C53" w:rsidP="006C1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Falsyfikację </w:t>
      </w:r>
      <w:r w:rsidR="00FC431F">
        <w:rPr>
          <w:rFonts w:ascii="Times New Roman" w:hAnsi="Times New Roman" w:cs="Times New Roman"/>
          <w:sz w:val="28"/>
          <w:szCs w:val="28"/>
        </w:rPr>
        <w:t xml:space="preserve">tezy o sukcesie </w:t>
      </w:r>
      <w:r>
        <w:rPr>
          <w:rFonts w:ascii="Times New Roman" w:hAnsi="Times New Roman" w:cs="Times New Roman"/>
          <w:sz w:val="28"/>
          <w:szCs w:val="28"/>
        </w:rPr>
        <w:t>„zielonej wyspy” można więc  dokonywać głównie analizując</w:t>
      </w:r>
      <w:r w:rsidR="0034739A">
        <w:rPr>
          <w:rFonts w:ascii="Times New Roman" w:hAnsi="Times New Roman" w:cs="Times New Roman"/>
          <w:sz w:val="28"/>
          <w:szCs w:val="28"/>
        </w:rPr>
        <w:t xml:space="preserve"> szanse na utrzymanie się wysokiej</w:t>
      </w:r>
      <w:r>
        <w:rPr>
          <w:rFonts w:ascii="Times New Roman" w:hAnsi="Times New Roman" w:cs="Times New Roman"/>
          <w:sz w:val="28"/>
          <w:szCs w:val="28"/>
        </w:rPr>
        <w:t xml:space="preserve"> rentowności</w:t>
      </w:r>
      <w:r w:rsidR="00FC431F">
        <w:rPr>
          <w:rFonts w:ascii="Times New Roman" w:hAnsi="Times New Roman" w:cs="Times New Roman"/>
          <w:sz w:val="28"/>
          <w:szCs w:val="28"/>
        </w:rPr>
        <w:t xml:space="preserve"> polskich przedsiębiorstw</w:t>
      </w:r>
      <w:r>
        <w:rPr>
          <w:rFonts w:ascii="Times New Roman" w:hAnsi="Times New Roman" w:cs="Times New Roman"/>
          <w:sz w:val="28"/>
          <w:szCs w:val="28"/>
        </w:rPr>
        <w:t xml:space="preserve"> i w przyszłości. Tutaj zagrożeń jest oczywiście bardzo wiele.</w:t>
      </w:r>
      <w:r w:rsidR="001C287D">
        <w:rPr>
          <w:rFonts w:ascii="Times New Roman" w:hAnsi="Times New Roman" w:cs="Times New Roman"/>
          <w:sz w:val="28"/>
          <w:szCs w:val="28"/>
        </w:rPr>
        <w:t xml:space="preserve"> Prezentowaliśmy je w sposób usystematyzowany i udokumentowany w licznych pracach Instytutu Finansów AF i Forum Spraw Publicznych AF, nie ma więc potrzeby ich tutaj przypominać i </w:t>
      </w:r>
      <w:proofErr w:type="spellStart"/>
      <w:r w:rsidR="001C287D">
        <w:rPr>
          <w:rFonts w:ascii="Times New Roman" w:hAnsi="Times New Roman" w:cs="Times New Roman"/>
          <w:sz w:val="28"/>
          <w:szCs w:val="28"/>
        </w:rPr>
        <w:t>autoplagiatować</w:t>
      </w:r>
      <w:proofErr w:type="spellEnd"/>
      <w:r w:rsidR="001C287D">
        <w:rPr>
          <w:rFonts w:ascii="Times New Roman" w:hAnsi="Times New Roman" w:cs="Times New Roman"/>
          <w:sz w:val="28"/>
          <w:szCs w:val="28"/>
        </w:rPr>
        <w:t xml:space="preserve">. </w:t>
      </w:r>
      <w:r w:rsidR="004D1496">
        <w:rPr>
          <w:rFonts w:ascii="Times New Roman" w:hAnsi="Times New Roman" w:cs="Times New Roman"/>
          <w:sz w:val="28"/>
          <w:szCs w:val="28"/>
        </w:rPr>
        <w:t xml:space="preserve"> W</w:t>
      </w:r>
      <w:r w:rsidR="0095095B">
        <w:rPr>
          <w:rFonts w:ascii="Times New Roman" w:hAnsi="Times New Roman" w:cs="Times New Roman"/>
          <w:sz w:val="28"/>
          <w:szCs w:val="28"/>
        </w:rPr>
        <w:t xml:space="preserve"> </w:t>
      </w:r>
      <w:r w:rsidR="00D008D9">
        <w:rPr>
          <w:rFonts w:ascii="Times New Roman" w:hAnsi="Times New Roman" w:cs="Times New Roman"/>
          <w:sz w:val="28"/>
          <w:szCs w:val="28"/>
        </w:rPr>
        <w:t>ostatniej części</w:t>
      </w:r>
      <w:r w:rsidR="0095095B">
        <w:rPr>
          <w:rFonts w:ascii="Times New Roman" w:hAnsi="Times New Roman" w:cs="Times New Roman"/>
          <w:sz w:val="28"/>
          <w:szCs w:val="28"/>
        </w:rPr>
        <w:t xml:space="preserve"> tekstu skupimy się tylko na niektórych nowych interpretacjach zagrożeń rentowności przedsiębiorstw w Polsce w przyszłości.</w:t>
      </w:r>
    </w:p>
    <w:p w:rsidR="00336FE8" w:rsidRDefault="00336FE8" w:rsidP="00336F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87D" w:rsidRDefault="001C287D" w:rsidP="00336F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349" w:rsidRPr="00840349" w:rsidRDefault="00840349" w:rsidP="008403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Spór o model biznesu gwarantujący dobrą kondycję polskich przedsiębiorstw</w:t>
      </w:r>
    </w:p>
    <w:p w:rsidR="001C287D" w:rsidRDefault="001C287D" w:rsidP="00336F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FE8" w:rsidRDefault="00A209B8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„Nowym” zagrożeniem dla utrzymania wysokiej rentowności polskich przedsiębiorstw jest b</w:t>
      </w:r>
      <w:r w:rsidR="00336FE8">
        <w:rPr>
          <w:rFonts w:ascii="Times New Roman" w:hAnsi="Times New Roman" w:cs="Times New Roman"/>
          <w:sz w:val="28"/>
          <w:szCs w:val="28"/>
        </w:rPr>
        <w:t xml:space="preserve">ardzo niski poziom aktywności innowacyjnej </w:t>
      </w:r>
      <w:r w:rsidR="004D1496">
        <w:rPr>
          <w:rFonts w:ascii="Times New Roman" w:hAnsi="Times New Roman" w:cs="Times New Roman"/>
          <w:sz w:val="28"/>
          <w:szCs w:val="28"/>
        </w:rPr>
        <w:t xml:space="preserve"> </w:t>
      </w:r>
      <w:r w:rsidR="00336FE8">
        <w:rPr>
          <w:rFonts w:ascii="Times New Roman" w:hAnsi="Times New Roman" w:cs="Times New Roman"/>
          <w:sz w:val="28"/>
          <w:szCs w:val="28"/>
        </w:rPr>
        <w:t>polskich przedsiębiorstw</w:t>
      </w:r>
      <w:r>
        <w:rPr>
          <w:rFonts w:ascii="Times New Roman" w:hAnsi="Times New Roman" w:cs="Times New Roman"/>
          <w:sz w:val="28"/>
          <w:szCs w:val="28"/>
        </w:rPr>
        <w:t>. J</w:t>
      </w:r>
      <w:r w:rsidR="00336FE8">
        <w:rPr>
          <w:rFonts w:ascii="Times New Roman" w:hAnsi="Times New Roman" w:cs="Times New Roman"/>
          <w:sz w:val="28"/>
          <w:szCs w:val="28"/>
        </w:rPr>
        <w:t>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8D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oczywiście</w:t>
      </w:r>
      <w:r w:rsidR="00336FE8">
        <w:rPr>
          <w:rFonts w:ascii="Times New Roman" w:hAnsi="Times New Roman" w:cs="Times New Roman"/>
          <w:sz w:val="28"/>
          <w:szCs w:val="28"/>
        </w:rPr>
        <w:t xml:space="preserve"> – niestet</w:t>
      </w:r>
      <w:r>
        <w:rPr>
          <w:rFonts w:ascii="Times New Roman" w:hAnsi="Times New Roman" w:cs="Times New Roman"/>
          <w:sz w:val="28"/>
          <w:szCs w:val="28"/>
        </w:rPr>
        <w:t>y - od dawna bardzo dobrze znane zagrożenie. Odnotowywane</w:t>
      </w:r>
      <w:r w:rsidR="00336FE8">
        <w:rPr>
          <w:rFonts w:ascii="Times New Roman" w:hAnsi="Times New Roman" w:cs="Times New Roman"/>
          <w:sz w:val="28"/>
          <w:szCs w:val="28"/>
        </w:rPr>
        <w:t xml:space="preserve"> jest w setkach czy tysiącach artykułach, analizach i raportach. Obrazu tego nie zmieni poszukiwanie nowych metodologii analitycznych.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FE8">
        <w:rPr>
          <w:rFonts w:ascii="Times New Roman" w:hAnsi="Times New Roman" w:cs="Times New Roman"/>
          <w:sz w:val="28"/>
          <w:szCs w:val="28"/>
        </w:rPr>
        <w:t>Trochę lepsza jest sytuacja w zakresie inwestycji przedsiębiorstw, jakkolwiek i ona nie stanowi dobrych twardych mikroekonomicznych podstaw dla przyszł</w:t>
      </w:r>
      <w:r>
        <w:rPr>
          <w:rFonts w:ascii="Times New Roman" w:hAnsi="Times New Roman" w:cs="Times New Roman"/>
          <w:sz w:val="28"/>
          <w:szCs w:val="28"/>
        </w:rPr>
        <w:t xml:space="preserve">ej rentowności przedsiębiorstw (zob. ściąga w tablicy nr 1). </w:t>
      </w:r>
      <w:r w:rsidR="00DE25D2">
        <w:rPr>
          <w:rFonts w:ascii="Times New Roman" w:hAnsi="Times New Roman" w:cs="Times New Roman"/>
          <w:sz w:val="28"/>
          <w:szCs w:val="28"/>
        </w:rPr>
        <w:t xml:space="preserve">Postęp – unijny przede wszystkim - w inwestycjach </w:t>
      </w:r>
      <w:r w:rsidR="00DE25D2">
        <w:rPr>
          <w:rFonts w:ascii="Times New Roman" w:hAnsi="Times New Roman" w:cs="Times New Roman"/>
          <w:sz w:val="28"/>
          <w:szCs w:val="28"/>
        </w:rPr>
        <w:lastRenderedPageBreak/>
        <w:t>publicznych, które mogłyby pociągać za sobą inwestycje prywatne,  też łatwo poddaje się krytyce.</w:t>
      </w:r>
    </w:p>
    <w:p w:rsidR="00A97582" w:rsidRDefault="00A97582" w:rsidP="00091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Dramat jest jednakże jeszcze większy</w:t>
      </w:r>
      <w:r w:rsidR="00113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ponieważ miażdżące krytyczne analizy stanu innowacyjności polskich przedsiębiorstw</w:t>
      </w:r>
      <w:r w:rsidR="00113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same w sobie też nie wiele wnoszą, raczej więc pogłębiają dramat niż wskazują na jakieś kierunki poprawy.</w:t>
      </w:r>
    </w:p>
    <w:p w:rsidR="00573308" w:rsidRDefault="00573308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wystarczy bowiem przy pomocy nawet najdłuższej liczby wyrafinowanych wskaźników pokazać fatalne miejsce innowacyjności polskich przedsiębiorstw czy zakres badań podstawowych i B+R w porównaniu ze światem. Nie wystarczą nawet trywialne przypomnienia jaką rolę nauka i innowacje odgrywają w konkurencji i rozwoju gospodarczym. Tutaj akurat nie ma żadnej zmiany modelu – zawsze tak było! </w:t>
      </w:r>
      <w:r w:rsidR="00A05CD2">
        <w:rPr>
          <w:rFonts w:ascii="Times New Roman" w:hAnsi="Times New Roman" w:cs="Times New Roman"/>
          <w:sz w:val="28"/>
          <w:szCs w:val="28"/>
        </w:rPr>
        <w:t xml:space="preserve">Niekiedy nawet to ukrywano i ukrywa się do dzisiaj. Alexander Field pokazuje dopiero w naszych czasach, że po wielkim kryzysie 1929-1933 przedsiębiorstwa amerykańskie przeżyły </w:t>
      </w:r>
      <w:r w:rsidR="00A05CD2">
        <w:rPr>
          <w:rFonts w:ascii="Times New Roman" w:hAnsi="Times New Roman" w:cs="Times New Roman"/>
          <w:i/>
          <w:sz w:val="28"/>
          <w:szCs w:val="28"/>
        </w:rPr>
        <w:t xml:space="preserve">most </w:t>
      </w:r>
      <w:proofErr w:type="spellStart"/>
      <w:r w:rsidR="00A05CD2">
        <w:rPr>
          <w:rFonts w:ascii="Times New Roman" w:hAnsi="Times New Roman" w:cs="Times New Roman"/>
          <w:i/>
          <w:sz w:val="28"/>
          <w:szCs w:val="28"/>
        </w:rPr>
        <w:t>technologically</w:t>
      </w:r>
      <w:proofErr w:type="spellEnd"/>
      <w:r w:rsidR="00A05CD2">
        <w:rPr>
          <w:rFonts w:ascii="Times New Roman" w:hAnsi="Times New Roman" w:cs="Times New Roman"/>
          <w:i/>
          <w:sz w:val="28"/>
          <w:szCs w:val="28"/>
        </w:rPr>
        <w:t xml:space="preserve"> progressive </w:t>
      </w:r>
      <w:proofErr w:type="spellStart"/>
      <w:r w:rsidR="00A05CD2">
        <w:rPr>
          <w:rFonts w:ascii="Times New Roman" w:hAnsi="Times New Roman" w:cs="Times New Roman"/>
          <w:i/>
          <w:sz w:val="28"/>
          <w:szCs w:val="28"/>
        </w:rPr>
        <w:t>decade</w:t>
      </w:r>
      <w:proofErr w:type="spellEnd"/>
      <w:r w:rsidR="00A05CD2">
        <w:rPr>
          <w:rFonts w:ascii="Times New Roman" w:hAnsi="Times New Roman" w:cs="Times New Roman"/>
          <w:i/>
          <w:sz w:val="28"/>
          <w:szCs w:val="28"/>
        </w:rPr>
        <w:t xml:space="preserve"> of the 20th </w:t>
      </w:r>
      <w:proofErr w:type="spellStart"/>
      <w:r w:rsidR="00A05CD2">
        <w:rPr>
          <w:rFonts w:ascii="Times New Roman" w:hAnsi="Times New Roman" w:cs="Times New Roman"/>
          <w:i/>
          <w:sz w:val="28"/>
          <w:szCs w:val="28"/>
        </w:rPr>
        <w:t>century</w:t>
      </w:r>
      <w:proofErr w:type="spellEnd"/>
      <w:r w:rsidR="00A05CD2">
        <w:rPr>
          <w:rFonts w:ascii="Times New Roman" w:hAnsi="Times New Roman" w:cs="Times New Roman"/>
          <w:i/>
          <w:sz w:val="28"/>
          <w:szCs w:val="28"/>
        </w:rPr>
        <w:t>.</w:t>
      </w:r>
      <w:r w:rsidR="00A05CD2">
        <w:rPr>
          <w:rStyle w:val="Odwoanieprzypisudolnego"/>
          <w:rFonts w:ascii="Times New Roman" w:hAnsi="Times New Roman" w:cs="Times New Roman"/>
          <w:i/>
          <w:sz w:val="28"/>
          <w:szCs w:val="28"/>
        </w:rPr>
        <w:footnoteReference w:id="5"/>
      </w:r>
      <w:r w:rsidR="00A05CD2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="00A05CD2">
        <w:rPr>
          <w:rFonts w:ascii="Times New Roman" w:hAnsi="Times New Roman" w:cs="Times New Roman"/>
          <w:sz w:val="28"/>
          <w:szCs w:val="28"/>
        </w:rPr>
        <w:t>R</w:t>
      </w:r>
      <w:r w:rsidR="00B05E9B">
        <w:rPr>
          <w:rFonts w:ascii="Times New Roman" w:hAnsi="Times New Roman" w:cs="Times New Roman"/>
          <w:sz w:val="28"/>
          <w:szCs w:val="28"/>
        </w:rPr>
        <w:t>o</w:t>
      </w:r>
      <w:r w:rsidR="00A05CD2">
        <w:rPr>
          <w:rFonts w:ascii="Times New Roman" w:hAnsi="Times New Roman" w:cs="Times New Roman"/>
          <w:sz w:val="28"/>
          <w:szCs w:val="28"/>
        </w:rPr>
        <w:t>ubi</w:t>
      </w:r>
      <w:r w:rsidR="00B05E9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B05E9B">
        <w:rPr>
          <w:rFonts w:ascii="Times New Roman" w:hAnsi="Times New Roman" w:cs="Times New Roman"/>
          <w:sz w:val="28"/>
          <w:szCs w:val="28"/>
        </w:rPr>
        <w:t xml:space="preserve"> i St. </w:t>
      </w:r>
      <w:proofErr w:type="spellStart"/>
      <w:r w:rsidR="00B05E9B">
        <w:rPr>
          <w:rFonts w:ascii="Times New Roman" w:hAnsi="Times New Roman" w:cs="Times New Roman"/>
          <w:sz w:val="28"/>
          <w:szCs w:val="28"/>
        </w:rPr>
        <w:t>Mihm</w:t>
      </w:r>
      <w:proofErr w:type="spellEnd"/>
      <w:r w:rsidR="00B05E9B">
        <w:rPr>
          <w:rFonts w:ascii="Times New Roman" w:hAnsi="Times New Roman" w:cs="Times New Roman"/>
          <w:sz w:val="28"/>
          <w:szCs w:val="28"/>
        </w:rPr>
        <w:t xml:space="preserve"> ostatnio przypominają, że w tym okresie państwo USA zbudowało 572 tysiące mil(!) dróg i autostrad, 78 tysięcy mostów, 480 lotnisk, 780 szpitali, 15 tysięcy szkół</w:t>
      </w:r>
      <w:r w:rsidR="00B05E9B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6"/>
      </w:r>
      <w:r w:rsidR="00B05E9B">
        <w:rPr>
          <w:rFonts w:ascii="Times New Roman" w:hAnsi="Times New Roman" w:cs="Times New Roman"/>
          <w:sz w:val="28"/>
          <w:szCs w:val="28"/>
        </w:rPr>
        <w:t>!!! Tymczasem większość ekonomistów wciąż żyje</w:t>
      </w:r>
      <w:r w:rsidR="000C7689">
        <w:rPr>
          <w:rFonts w:ascii="Times New Roman" w:hAnsi="Times New Roman" w:cs="Times New Roman"/>
          <w:sz w:val="28"/>
          <w:szCs w:val="28"/>
        </w:rPr>
        <w:t xml:space="preserve"> karmiąc się</w:t>
      </w:r>
      <w:r w:rsidR="00B05E9B">
        <w:rPr>
          <w:rFonts w:ascii="Times New Roman" w:hAnsi="Times New Roman" w:cs="Times New Roman"/>
          <w:sz w:val="28"/>
          <w:szCs w:val="28"/>
        </w:rPr>
        <w:t xml:space="preserve"> </w:t>
      </w:r>
      <w:r w:rsidR="000C7689">
        <w:rPr>
          <w:rFonts w:ascii="Times New Roman" w:hAnsi="Times New Roman" w:cs="Times New Roman"/>
          <w:sz w:val="28"/>
          <w:szCs w:val="28"/>
        </w:rPr>
        <w:t xml:space="preserve">wulgatą </w:t>
      </w:r>
      <w:r w:rsidR="00B05E9B">
        <w:rPr>
          <w:rFonts w:ascii="Times New Roman" w:hAnsi="Times New Roman" w:cs="Times New Roman"/>
          <w:sz w:val="28"/>
          <w:szCs w:val="28"/>
        </w:rPr>
        <w:t xml:space="preserve">Keynesa-Kaleckiego, że </w:t>
      </w:r>
      <w:r w:rsidR="003C59A1">
        <w:rPr>
          <w:rFonts w:ascii="Times New Roman" w:hAnsi="Times New Roman" w:cs="Times New Roman"/>
          <w:sz w:val="28"/>
          <w:szCs w:val="28"/>
        </w:rPr>
        <w:t>gospodarki wychodzą z kryzysu</w:t>
      </w:r>
      <w:r w:rsidR="000C7689">
        <w:rPr>
          <w:rFonts w:ascii="Times New Roman" w:hAnsi="Times New Roman" w:cs="Times New Roman"/>
          <w:sz w:val="28"/>
          <w:szCs w:val="28"/>
        </w:rPr>
        <w:t>,</w:t>
      </w:r>
      <w:r w:rsidR="003C59A1">
        <w:rPr>
          <w:rFonts w:ascii="Times New Roman" w:hAnsi="Times New Roman" w:cs="Times New Roman"/>
          <w:sz w:val="28"/>
          <w:szCs w:val="28"/>
        </w:rPr>
        <w:t xml:space="preserve"> i się rozwijają</w:t>
      </w:r>
      <w:r w:rsidR="000C7689">
        <w:rPr>
          <w:rFonts w:ascii="Times New Roman" w:hAnsi="Times New Roman" w:cs="Times New Roman"/>
          <w:sz w:val="28"/>
          <w:szCs w:val="28"/>
        </w:rPr>
        <w:t>,</w:t>
      </w:r>
      <w:r w:rsidR="003C59A1">
        <w:rPr>
          <w:rFonts w:ascii="Times New Roman" w:hAnsi="Times New Roman" w:cs="Times New Roman"/>
          <w:sz w:val="28"/>
          <w:szCs w:val="28"/>
        </w:rPr>
        <w:t xml:space="preserve"> jak</w:t>
      </w:r>
      <w:r w:rsidR="00B05E9B">
        <w:rPr>
          <w:rFonts w:ascii="Times New Roman" w:hAnsi="Times New Roman" w:cs="Times New Roman"/>
          <w:sz w:val="28"/>
          <w:szCs w:val="28"/>
        </w:rPr>
        <w:t xml:space="preserve"> bank centralny </w:t>
      </w:r>
      <w:r w:rsidR="003C59A1">
        <w:rPr>
          <w:rFonts w:ascii="Times New Roman" w:hAnsi="Times New Roman" w:cs="Times New Roman"/>
          <w:sz w:val="28"/>
          <w:szCs w:val="28"/>
        </w:rPr>
        <w:t>drukuje</w:t>
      </w:r>
      <w:r w:rsidR="00B05E9B">
        <w:rPr>
          <w:rFonts w:ascii="Times New Roman" w:hAnsi="Times New Roman" w:cs="Times New Roman"/>
          <w:sz w:val="28"/>
          <w:szCs w:val="28"/>
        </w:rPr>
        <w:t xml:space="preserve"> pieniądze a państwo </w:t>
      </w:r>
      <w:r w:rsidR="003C59A1">
        <w:rPr>
          <w:rFonts w:ascii="Times New Roman" w:hAnsi="Times New Roman" w:cs="Times New Roman"/>
          <w:sz w:val="28"/>
          <w:szCs w:val="28"/>
        </w:rPr>
        <w:t>wydaje je na cokolwiek.</w:t>
      </w:r>
    </w:p>
    <w:p w:rsidR="000918E8" w:rsidRDefault="00A209B8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polskiej debacie pojawia się</w:t>
      </w:r>
      <w:r w:rsidR="000918E8">
        <w:rPr>
          <w:rFonts w:ascii="Times New Roman" w:hAnsi="Times New Roman" w:cs="Times New Roman"/>
          <w:sz w:val="28"/>
          <w:szCs w:val="28"/>
        </w:rPr>
        <w:t xml:space="preserve"> wprawdzie</w:t>
      </w:r>
      <w:r>
        <w:rPr>
          <w:rFonts w:ascii="Times New Roman" w:hAnsi="Times New Roman" w:cs="Times New Roman"/>
          <w:sz w:val="28"/>
          <w:szCs w:val="28"/>
        </w:rPr>
        <w:t xml:space="preserve"> tutaj</w:t>
      </w:r>
      <w:r w:rsidR="000918E8">
        <w:rPr>
          <w:rFonts w:ascii="Times New Roman" w:hAnsi="Times New Roman" w:cs="Times New Roman"/>
          <w:sz w:val="28"/>
          <w:szCs w:val="28"/>
        </w:rPr>
        <w:t xml:space="preserve"> spóźniony postęp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8E8">
        <w:rPr>
          <w:rFonts w:ascii="Times New Roman" w:hAnsi="Times New Roman" w:cs="Times New Roman"/>
          <w:sz w:val="28"/>
          <w:szCs w:val="28"/>
        </w:rPr>
        <w:t xml:space="preserve"> ponieważ zwraca się uwagę, że pieniądze unij</w:t>
      </w:r>
      <w:r w:rsidR="00715E53">
        <w:rPr>
          <w:rFonts w:ascii="Times New Roman" w:hAnsi="Times New Roman" w:cs="Times New Roman"/>
          <w:sz w:val="28"/>
          <w:szCs w:val="28"/>
        </w:rPr>
        <w:t xml:space="preserve">ne mogą być lepiej wykorzystane, a więc nie liczby i salda, ale co się pod nimi kryje – jak np. w wydatkach </w:t>
      </w:r>
      <w:r w:rsidR="00715E53">
        <w:rPr>
          <w:rFonts w:ascii="Times New Roman" w:hAnsi="Times New Roman" w:cs="Times New Roman"/>
          <w:i/>
          <w:sz w:val="28"/>
          <w:szCs w:val="28"/>
        </w:rPr>
        <w:t xml:space="preserve">New </w:t>
      </w:r>
      <w:proofErr w:type="spellStart"/>
      <w:r w:rsidR="00715E53">
        <w:rPr>
          <w:rFonts w:ascii="Times New Roman" w:hAnsi="Times New Roman" w:cs="Times New Roman"/>
          <w:i/>
          <w:sz w:val="28"/>
          <w:szCs w:val="28"/>
        </w:rPr>
        <w:t>deal’u</w:t>
      </w:r>
      <w:proofErr w:type="spellEnd"/>
      <w:r w:rsidR="00715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E53">
        <w:rPr>
          <w:rFonts w:ascii="Times New Roman" w:hAnsi="Times New Roman" w:cs="Times New Roman"/>
          <w:sz w:val="28"/>
          <w:szCs w:val="28"/>
        </w:rPr>
        <w:t xml:space="preserve">w Ameryce. </w:t>
      </w:r>
      <w:r w:rsidR="000918E8">
        <w:rPr>
          <w:rFonts w:ascii="Times New Roman" w:hAnsi="Times New Roman" w:cs="Times New Roman"/>
          <w:sz w:val="28"/>
          <w:szCs w:val="28"/>
        </w:rPr>
        <w:t xml:space="preserve"> W tym postępie zapomina się jednakże o kluczowej chyba instytucjonalnej  kwestii: że </w:t>
      </w:r>
      <w:r w:rsidR="00715E53">
        <w:rPr>
          <w:rFonts w:ascii="Times New Roman" w:hAnsi="Times New Roman" w:cs="Times New Roman"/>
          <w:sz w:val="28"/>
          <w:szCs w:val="28"/>
        </w:rPr>
        <w:t xml:space="preserve">i tak udało się </w:t>
      </w:r>
      <w:r w:rsidR="000918E8">
        <w:rPr>
          <w:rFonts w:ascii="Times New Roman" w:hAnsi="Times New Roman" w:cs="Times New Roman"/>
          <w:sz w:val="28"/>
          <w:szCs w:val="28"/>
        </w:rPr>
        <w:t>z pols</w:t>
      </w:r>
      <w:r w:rsidR="00715E53">
        <w:rPr>
          <w:rFonts w:ascii="Times New Roman" w:hAnsi="Times New Roman" w:cs="Times New Roman"/>
          <w:sz w:val="28"/>
          <w:szCs w:val="28"/>
        </w:rPr>
        <w:t xml:space="preserve">kich finansów publicznych </w:t>
      </w:r>
      <w:r w:rsidR="00091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0918E8">
        <w:rPr>
          <w:rFonts w:ascii="Times New Roman" w:hAnsi="Times New Roman" w:cs="Times New Roman"/>
          <w:sz w:val="28"/>
          <w:szCs w:val="28"/>
        </w:rPr>
        <w:t>wyrwać</w:t>
      </w:r>
      <w:r w:rsidR="00FC431F">
        <w:rPr>
          <w:rFonts w:ascii="Times New Roman" w:hAnsi="Times New Roman" w:cs="Times New Roman"/>
          <w:sz w:val="28"/>
          <w:szCs w:val="28"/>
        </w:rPr>
        <w:t>”</w:t>
      </w:r>
      <w:r w:rsidR="000918E8">
        <w:rPr>
          <w:rFonts w:ascii="Times New Roman" w:hAnsi="Times New Roman" w:cs="Times New Roman"/>
          <w:sz w:val="28"/>
          <w:szCs w:val="28"/>
        </w:rPr>
        <w:t xml:space="preserve"> składkę do Unii Europejskiej</w:t>
      </w:r>
      <w:r>
        <w:rPr>
          <w:rFonts w:ascii="Times New Roman" w:hAnsi="Times New Roman" w:cs="Times New Roman"/>
          <w:sz w:val="28"/>
          <w:szCs w:val="28"/>
        </w:rPr>
        <w:t>, aby dostawać</w:t>
      </w:r>
      <w:r w:rsidR="000918E8">
        <w:rPr>
          <w:rFonts w:ascii="Times New Roman" w:hAnsi="Times New Roman" w:cs="Times New Roman"/>
          <w:sz w:val="28"/>
          <w:szCs w:val="28"/>
        </w:rPr>
        <w:t xml:space="preserve"> środki na cenne wydatki </w:t>
      </w:r>
      <w:r w:rsidR="000918E8">
        <w:rPr>
          <w:rFonts w:ascii="Times New Roman" w:hAnsi="Times New Roman" w:cs="Times New Roman"/>
          <w:sz w:val="28"/>
          <w:szCs w:val="28"/>
        </w:rPr>
        <w:lastRenderedPageBreak/>
        <w:t xml:space="preserve">inwestycyjne, </w:t>
      </w:r>
      <w:r>
        <w:rPr>
          <w:rFonts w:ascii="Times New Roman" w:hAnsi="Times New Roman" w:cs="Times New Roman"/>
          <w:sz w:val="28"/>
          <w:szCs w:val="28"/>
        </w:rPr>
        <w:t xml:space="preserve">i do tego duże większe, </w:t>
      </w:r>
      <w:r w:rsidR="000918E8">
        <w:rPr>
          <w:rFonts w:ascii="Times New Roman" w:hAnsi="Times New Roman" w:cs="Times New Roman"/>
          <w:sz w:val="28"/>
          <w:szCs w:val="28"/>
        </w:rPr>
        <w:t>których realizacji Unia pilnuje. Wcześniej w ramach suwerenności nie byliśmy w stanie wygospodarować środków</w:t>
      </w:r>
      <w:r w:rsidR="00FC431F">
        <w:rPr>
          <w:rFonts w:ascii="Times New Roman" w:hAnsi="Times New Roman" w:cs="Times New Roman"/>
          <w:sz w:val="28"/>
          <w:szCs w:val="28"/>
        </w:rPr>
        <w:t xml:space="preserve"> z własnych finansów publicznych</w:t>
      </w:r>
      <w:r w:rsidR="000918E8">
        <w:rPr>
          <w:rFonts w:ascii="Times New Roman" w:hAnsi="Times New Roman" w:cs="Times New Roman"/>
          <w:sz w:val="28"/>
          <w:szCs w:val="28"/>
        </w:rPr>
        <w:t xml:space="preserve"> na cenne inwestycje publiczne.</w:t>
      </w:r>
    </w:p>
    <w:p w:rsidR="00E06634" w:rsidRDefault="00DD3491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Ekonomia akademicka i polityka gospodarcza, czasami łącznie, mając więc poważne problemy w zakresie </w:t>
      </w:r>
      <w:r>
        <w:rPr>
          <w:rFonts w:ascii="Times New Roman" w:hAnsi="Times New Roman" w:cs="Times New Roman"/>
          <w:i/>
          <w:sz w:val="28"/>
          <w:szCs w:val="28"/>
        </w:rPr>
        <w:t>policy mix</w:t>
      </w:r>
      <w:r>
        <w:rPr>
          <w:rFonts w:ascii="Times New Roman" w:hAnsi="Times New Roman" w:cs="Times New Roman"/>
          <w:sz w:val="28"/>
          <w:szCs w:val="28"/>
        </w:rPr>
        <w:t xml:space="preserve">, w której </w:t>
      </w:r>
      <w:r w:rsidR="00715E53">
        <w:rPr>
          <w:rFonts w:ascii="Times New Roman" w:hAnsi="Times New Roman" w:cs="Times New Roman"/>
          <w:sz w:val="28"/>
          <w:szCs w:val="28"/>
        </w:rPr>
        <w:t xml:space="preserve">akurat </w:t>
      </w:r>
      <w:r>
        <w:rPr>
          <w:rFonts w:ascii="Times New Roman" w:hAnsi="Times New Roman" w:cs="Times New Roman"/>
          <w:sz w:val="28"/>
          <w:szCs w:val="28"/>
        </w:rPr>
        <w:t>może być jeszcze istotnie sku</w:t>
      </w:r>
      <w:r w:rsidR="00FC431F">
        <w:rPr>
          <w:rFonts w:ascii="Times New Roman" w:hAnsi="Times New Roman" w:cs="Times New Roman"/>
          <w:sz w:val="28"/>
          <w:szCs w:val="28"/>
        </w:rPr>
        <w:t>teczna, tym bardziej ułomna jest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FC431F">
        <w:rPr>
          <w:rFonts w:ascii="Times New Roman" w:hAnsi="Times New Roman" w:cs="Times New Roman"/>
          <w:sz w:val="28"/>
          <w:szCs w:val="28"/>
        </w:rPr>
        <w:t xml:space="preserve"> koncepcjach rozwijania</w:t>
      </w:r>
      <w:r>
        <w:rPr>
          <w:rFonts w:ascii="Times New Roman" w:hAnsi="Times New Roman" w:cs="Times New Roman"/>
          <w:sz w:val="28"/>
          <w:szCs w:val="28"/>
        </w:rPr>
        <w:t xml:space="preserve"> przedsiębiorstw.</w:t>
      </w:r>
      <w:r w:rsidR="0045581B">
        <w:rPr>
          <w:rFonts w:ascii="Times New Roman" w:hAnsi="Times New Roman" w:cs="Times New Roman"/>
          <w:sz w:val="28"/>
          <w:szCs w:val="28"/>
        </w:rPr>
        <w:t xml:space="preserve"> Nie wystarczą dobre rady przedsiębiorcom, że trzeba inwestować, że trzeba prowadzić badania B+R,</w:t>
      </w:r>
      <w:r w:rsidR="00E06634">
        <w:rPr>
          <w:rFonts w:ascii="Times New Roman" w:hAnsi="Times New Roman" w:cs="Times New Roman"/>
          <w:sz w:val="28"/>
          <w:szCs w:val="28"/>
        </w:rPr>
        <w:t xml:space="preserve"> że trzeba wprowadzać innowacje</w:t>
      </w:r>
      <w:r w:rsidR="00A209B8">
        <w:rPr>
          <w:rFonts w:ascii="Times New Roman" w:hAnsi="Times New Roman" w:cs="Times New Roman"/>
          <w:sz w:val="28"/>
          <w:szCs w:val="28"/>
        </w:rPr>
        <w:t>,</w:t>
      </w:r>
      <w:r w:rsidR="00E06634">
        <w:rPr>
          <w:rFonts w:ascii="Times New Roman" w:hAnsi="Times New Roman" w:cs="Times New Roman"/>
          <w:sz w:val="28"/>
          <w:szCs w:val="28"/>
        </w:rPr>
        <w:t xml:space="preserve"> a nie np. imitować.</w:t>
      </w:r>
    </w:p>
    <w:p w:rsidR="00143E57" w:rsidRDefault="00E06634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 jest znacznie bardziej złożony i niekiedy przyjmuje charakter zaklętego kręgu. </w:t>
      </w:r>
      <w:r w:rsidR="00BB12D7">
        <w:rPr>
          <w:rFonts w:ascii="Times New Roman" w:hAnsi="Times New Roman" w:cs="Times New Roman"/>
          <w:sz w:val="28"/>
          <w:szCs w:val="28"/>
        </w:rPr>
        <w:t xml:space="preserve">W zaklętym kręgu </w:t>
      </w:r>
      <w:r w:rsidR="00945D28">
        <w:rPr>
          <w:rFonts w:ascii="Times New Roman" w:hAnsi="Times New Roman" w:cs="Times New Roman"/>
          <w:sz w:val="28"/>
          <w:szCs w:val="28"/>
        </w:rPr>
        <w:t>bzdura napędza bzdurę, wszyscy nawz</w:t>
      </w:r>
      <w:r w:rsidR="00CD09A0">
        <w:rPr>
          <w:rFonts w:ascii="Times New Roman" w:hAnsi="Times New Roman" w:cs="Times New Roman"/>
          <w:sz w:val="28"/>
          <w:szCs w:val="28"/>
        </w:rPr>
        <w:t>a</w:t>
      </w:r>
      <w:r w:rsidR="00945D28">
        <w:rPr>
          <w:rFonts w:ascii="Times New Roman" w:hAnsi="Times New Roman" w:cs="Times New Roman"/>
          <w:sz w:val="28"/>
          <w:szCs w:val="28"/>
        </w:rPr>
        <w:t>jem się winią. D</w:t>
      </w:r>
      <w:r w:rsidR="00BB12D7">
        <w:rPr>
          <w:rFonts w:ascii="Times New Roman" w:hAnsi="Times New Roman" w:cs="Times New Roman"/>
          <w:sz w:val="28"/>
          <w:szCs w:val="28"/>
        </w:rPr>
        <w:t xml:space="preserve">obra idea zwiększania publicznych środków na B+R może rzeczywiście doprowadzać do ich lokowania w czarnej dziurze. </w:t>
      </w:r>
      <w:r w:rsidR="00945D28">
        <w:rPr>
          <w:rFonts w:ascii="Times New Roman" w:hAnsi="Times New Roman" w:cs="Times New Roman"/>
          <w:sz w:val="28"/>
          <w:szCs w:val="28"/>
        </w:rPr>
        <w:t>Niezłe uczelnie techniczne wolą przyciągać tysiące studentów na kierunki zarządzania, marketingu, socjologii, stosunków międzynarodowych</w:t>
      </w:r>
      <w:r w:rsidR="00A209B8">
        <w:rPr>
          <w:rFonts w:ascii="Times New Roman" w:hAnsi="Times New Roman" w:cs="Times New Roman"/>
          <w:sz w:val="28"/>
          <w:szCs w:val="28"/>
        </w:rPr>
        <w:t>,</w:t>
      </w:r>
      <w:r w:rsidR="00945D28">
        <w:rPr>
          <w:rFonts w:ascii="Times New Roman" w:hAnsi="Times New Roman" w:cs="Times New Roman"/>
          <w:sz w:val="28"/>
          <w:szCs w:val="28"/>
        </w:rPr>
        <w:t xml:space="preserve"> a nie na b</w:t>
      </w:r>
      <w:r w:rsidR="00A209B8">
        <w:rPr>
          <w:rFonts w:ascii="Times New Roman" w:hAnsi="Times New Roman" w:cs="Times New Roman"/>
          <w:sz w:val="28"/>
          <w:szCs w:val="28"/>
        </w:rPr>
        <w:t>iotechnologie czy nawet awiację, w których mają i mogą mieć ogromne osiągnięcia, w których mogą stawać się pożądanym partnerem biznesowym.</w:t>
      </w:r>
    </w:p>
    <w:p w:rsidR="00F00E9B" w:rsidRPr="00AB20E9" w:rsidRDefault="00CD09A0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Imitacja sama w sobie </w:t>
      </w:r>
      <w:r w:rsidR="00357F26">
        <w:rPr>
          <w:rFonts w:ascii="Times New Roman" w:hAnsi="Times New Roman" w:cs="Times New Roman"/>
          <w:sz w:val="28"/>
          <w:szCs w:val="28"/>
        </w:rPr>
        <w:t xml:space="preserve">też </w:t>
      </w:r>
      <w:r>
        <w:rPr>
          <w:rFonts w:ascii="Times New Roman" w:hAnsi="Times New Roman" w:cs="Times New Roman"/>
          <w:sz w:val="28"/>
          <w:szCs w:val="28"/>
        </w:rPr>
        <w:t xml:space="preserve">nie jest taka zła, a często znacznie skuteczniejsza niż oryginalna innowacja. Harward Business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dawno przypomniał, że 97,8 wartości z powstałej innowacji przechodzi do imitatorów!!! I to 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McDonalds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wymyślił swój złoty interes tylko skopiował go z firmy White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</w:t>
      </w:r>
      <w:proofErr w:type="spellEnd"/>
      <w:r>
        <w:rPr>
          <w:rFonts w:ascii="Times New Roman" w:hAnsi="Times New Roman" w:cs="Times New Roman"/>
          <w:sz w:val="28"/>
          <w:szCs w:val="28"/>
        </w:rPr>
        <w:t>, Visa czy Mastercard żyją znakomicie z wynalazku</w:t>
      </w:r>
      <w:r w:rsidR="00CE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EE">
        <w:rPr>
          <w:rFonts w:ascii="Times New Roman" w:hAnsi="Times New Roman" w:cs="Times New Roman"/>
          <w:sz w:val="28"/>
          <w:szCs w:val="28"/>
        </w:rPr>
        <w:t>Diners</w:t>
      </w:r>
      <w:proofErr w:type="spellEnd"/>
      <w:r w:rsidR="00CE3BEE">
        <w:rPr>
          <w:rFonts w:ascii="Times New Roman" w:hAnsi="Times New Roman" w:cs="Times New Roman"/>
          <w:sz w:val="28"/>
          <w:szCs w:val="28"/>
        </w:rPr>
        <w:t xml:space="preserve"> Club, Wal-Mart z wynalazku </w:t>
      </w:r>
      <w:proofErr w:type="spellStart"/>
      <w:r w:rsidR="00CE3BEE">
        <w:rPr>
          <w:rFonts w:ascii="Times New Roman" w:hAnsi="Times New Roman" w:cs="Times New Roman"/>
          <w:sz w:val="28"/>
          <w:szCs w:val="28"/>
        </w:rPr>
        <w:t>Corvette</w:t>
      </w:r>
      <w:proofErr w:type="spellEnd"/>
      <w:r w:rsidR="00CE3BEE">
        <w:rPr>
          <w:rFonts w:ascii="Times New Roman" w:hAnsi="Times New Roman" w:cs="Times New Roman"/>
          <w:sz w:val="28"/>
          <w:szCs w:val="28"/>
        </w:rPr>
        <w:t xml:space="preserve"> a nawet Apple </w:t>
      </w:r>
      <w:proofErr w:type="spellStart"/>
      <w:r w:rsidR="00CE3BEE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="00CE3BEE">
        <w:rPr>
          <w:rFonts w:ascii="Times New Roman" w:hAnsi="Times New Roman" w:cs="Times New Roman"/>
          <w:sz w:val="28"/>
          <w:szCs w:val="28"/>
        </w:rPr>
        <w:t xml:space="preserve"> z wynalazku </w:t>
      </w:r>
      <w:proofErr w:type="spellStart"/>
      <w:r w:rsidR="00CE3BEE">
        <w:rPr>
          <w:rFonts w:ascii="Times New Roman" w:hAnsi="Times New Roman" w:cs="Times New Roman"/>
          <w:sz w:val="28"/>
          <w:szCs w:val="28"/>
        </w:rPr>
        <w:t>Saehan</w:t>
      </w:r>
      <w:proofErr w:type="spellEnd"/>
      <w:r w:rsidR="00CE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EE">
        <w:rPr>
          <w:rFonts w:ascii="Times New Roman" w:hAnsi="Times New Roman" w:cs="Times New Roman"/>
          <w:sz w:val="28"/>
          <w:szCs w:val="28"/>
        </w:rPr>
        <w:t>Mpman</w:t>
      </w:r>
      <w:proofErr w:type="spellEnd"/>
      <w:r w:rsidR="00CE3BEE">
        <w:rPr>
          <w:rFonts w:ascii="Times New Roman" w:hAnsi="Times New Roman" w:cs="Times New Roman"/>
          <w:sz w:val="28"/>
          <w:szCs w:val="28"/>
        </w:rPr>
        <w:t>.</w:t>
      </w:r>
      <w:r w:rsidR="00E576C6">
        <w:rPr>
          <w:rFonts w:ascii="Times New Roman" w:hAnsi="Times New Roman" w:cs="Times New Roman"/>
          <w:sz w:val="28"/>
          <w:szCs w:val="28"/>
        </w:rPr>
        <w:t xml:space="preserve"> Innowator wcale nie musi przekuć swoje</w:t>
      </w:r>
      <w:r w:rsidR="000C35F3">
        <w:rPr>
          <w:rFonts w:ascii="Times New Roman" w:hAnsi="Times New Roman" w:cs="Times New Roman"/>
          <w:sz w:val="28"/>
          <w:szCs w:val="28"/>
        </w:rPr>
        <w:t>go</w:t>
      </w:r>
      <w:r w:rsidR="00E576C6">
        <w:rPr>
          <w:rFonts w:ascii="Times New Roman" w:hAnsi="Times New Roman" w:cs="Times New Roman"/>
          <w:sz w:val="28"/>
          <w:szCs w:val="28"/>
        </w:rPr>
        <w:t xml:space="preserve"> sukcesu w rentowność. Kodak bankrutuje z sejfem wynalazków wartych miliardy dolarów.</w:t>
      </w:r>
      <w:r w:rsidR="00F00E9B">
        <w:rPr>
          <w:rFonts w:ascii="Times New Roman" w:hAnsi="Times New Roman" w:cs="Times New Roman"/>
          <w:sz w:val="28"/>
          <w:szCs w:val="28"/>
        </w:rPr>
        <w:t xml:space="preserve"> W Unii Europejskiej, której częścią przecież jesteśmy, wdraża się 140 tysięcy patentów, ale w Japonii  350 tysięcy choć u schyłku lat 90. było to 430 tysięcy. Ciekawe że USA wciąż utrzymują bardzo wysoką skuteczność (460 tysięcy- </w:t>
      </w:r>
      <w:r w:rsidR="00F00E9B">
        <w:rPr>
          <w:rFonts w:ascii="Times New Roman" w:hAnsi="Times New Roman" w:cs="Times New Roman"/>
          <w:sz w:val="28"/>
          <w:szCs w:val="28"/>
        </w:rPr>
        <w:lastRenderedPageBreak/>
        <w:t>lekkie zatrzymanie, chociaż nie spadek)</w:t>
      </w:r>
      <w:r w:rsidR="00AB20E9">
        <w:rPr>
          <w:rFonts w:ascii="Times New Roman" w:hAnsi="Times New Roman" w:cs="Times New Roman"/>
          <w:sz w:val="28"/>
          <w:szCs w:val="28"/>
        </w:rPr>
        <w:t>. Rakietowy wzrost odnotowują Chiny, które w ciągu dwudziestu lat z kilkunastu tysięcy doszły do ponad 300 tysięcy wdrażanych patentów.</w:t>
      </w:r>
      <w:r w:rsidR="0006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A0" w:rsidRDefault="00CD09A0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E1D">
        <w:rPr>
          <w:rFonts w:ascii="Times New Roman" w:hAnsi="Times New Roman" w:cs="Times New Roman"/>
          <w:sz w:val="28"/>
          <w:szCs w:val="28"/>
        </w:rPr>
        <w:t xml:space="preserve">Jeff </w:t>
      </w:r>
      <w:proofErr w:type="spellStart"/>
      <w:r w:rsidR="00B91E1D">
        <w:rPr>
          <w:rFonts w:ascii="Times New Roman" w:hAnsi="Times New Roman" w:cs="Times New Roman"/>
          <w:sz w:val="28"/>
          <w:szCs w:val="28"/>
        </w:rPr>
        <w:t>Bezos</w:t>
      </w:r>
      <w:proofErr w:type="spellEnd"/>
      <w:r w:rsidR="00B91E1D">
        <w:rPr>
          <w:rFonts w:ascii="Times New Roman" w:hAnsi="Times New Roman" w:cs="Times New Roman"/>
          <w:sz w:val="28"/>
          <w:szCs w:val="28"/>
        </w:rPr>
        <w:t xml:space="preserve">, twórca </w:t>
      </w:r>
      <w:proofErr w:type="spellStart"/>
      <w:r w:rsidR="00B91E1D">
        <w:rPr>
          <w:rFonts w:ascii="Times New Roman" w:hAnsi="Times New Roman" w:cs="Times New Roman"/>
          <w:sz w:val="28"/>
          <w:szCs w:val="28"/>
        </w:rPr>
        <w:t>Amozonu</w:t>
      </w:r>
      <w:proofErr w:type="spellEnd"/>
      <w:r w:rsidR="00B91E1D">
        <w:rPr>
          <w:rFonts w:ascii="Times New Roman" w:hAnsi="Times New Roman" w:cs="Times New Roman"/>
          <w:sz w:val="28"/>
          <w:szCs w:val="28"/>
        </w:rPr>
        <w:t xml:space="preserve">, powiada, że współczesnym modelu biznesowym obowiązuje strategia GBF – </w:t>
      </w:r>
      <w:r w:rsidR="00B91E1D">
        <w:rPr>
          <w:rFonts w:ascii="Times New Roman" w:hAnsi="Times New Roman" w:cs="Times New Roman"/>
          <w:i/>
          <w:sz w:val="28"/>
          <w:szCs w:val="28"/>
        </w:rPr>
        <w:t xml:space="preserve">Get Big Fast. </w:t>
      </w:r>
      <w:r w:rsidR="00B91E1D">
        <w:rPr>
          <w:rFonts w:ascii="Times New Roman" w:hAnsi="Times New Roman" w:cs="Times New Roman"/>
          <w:sz w:val="28"/>
          <w:szCs w:val="28"/>
        </w:rPr>
        <w:t>Musisz bardzo szybko na początku zarobić na innowacjach, później zarabiają już i</w:t>
      </w:r>
      <w:r w:rsidR="00062EBF">
        <w:rPr>
          <w:rFonts w:ascii="Times New Roman" w:hAnsi="Times New Roman" w:cs="Times New Roman"/>
          <w:sz w:val="28"/>
          <w:szCs w:val="28"/>
        </w:rPr>
        <w:t xml:space="preserve">mitatorzy, i to często poza narodowymi bunkrami twórców innowacji. </w:t>
      </w:r>
      <w:r w:rsidR="00B91E1D">
        <w:rPr>
          <w:rFonts w:ascii="Times New Roman" w:hAnsi="Times New Roman" w:cs="Times New Roman"/>
          <w:sz w:val="28"/>
          <w:szCs w:val="28"/>
        </w:rPr>
        <w:t xml:space="preserve"> Polskie przedsiębiorstwa zarobiły miliardy na telefonii komórkowej</w:t>
      </w:r>
      <w:r w:rsidR="00357F26">
        <w:rPr>
          <w:rFonts w:ascii="Times New Roman" w:hAnsi="Times New Roman" w:cs="Times New Roman"/>
          <w:sz w:val="28"/>
          <w:szCs w:val="28"/>
        </w:rPr>
        <w:t xml:space="preserve"> (i nie chcą zarabiać więcej!)</w:t>
      </w:r>
      <w:r w:rsidR="00B91E1D">
        <w:rPr>
          <w:rFonts w:ascii="Times New Roman" w:hAnsi="Times New Roman" w:cs="Times New Roman"/>
          <w:sz w:val="28"/>
          <w:szCs w:val="28"/>
        </w:rPr>
        <w:t>, tymczasem ani jej nie wymyśliły, ani nie produkują telefonów komórkowych – zresztą w tym zakresie innowatorów liczących się na świecie jest kilku, a jeśli pojawia</w:t>
      </w:r>
      <w:r w:rsidR="00E034B1">
        <w:rPr>
          <w:rFonts w:ascii="Times New Roman" w:hAnsi="Times New Roman" w:cs="Times New Roman"/>
          <w:sz w:val="28"/>
          <w:szCs w:val="28"/>
        </w:rPr>
        <w:t>ją</w:t>
      </w:r>
      <w:r w:rsidR="00B91E1D">
        <w:rPr>
          <w:rFonts w:ascii="Times New Roman" w:hAnsi="Times New Roman" w:cs="Times New Roman"/>
          <w:sz w:val="28"/>
          <w:szCs w:val="28"/>
        </w:rPr>
        <w:t xml:space="preserve"> się setki, to zazwyczaj chętnie się sprzedają tym kilku.</w:t>
      </w:r>
    </w:p>
    <w:p w:rsidR="002A2DDE" w:rsidRPr="006F0C1C" w:rsidRDefault="002A2DDE" w:rsidP="00B05E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dzień dzisiejszy w teorii wiemy, że z innowacyjnością polskich przedsiębiorstw jest źle, ale jako badacze akademiccy i politycy gospodarczy wiemy zdecydowanie mniej np. od przedsiębiorców na czym polega biznes innowacyjny i jak go realizować.</w:t>
      </w:r>
      <w:r w:rsidR="00344333">
        <w:rPr>
          <w:rFonts w:ascii="Times New Roman" w:hAnsi="Times New Roman" w:cs="Times New Roman"/>
          <w:sz w:val="28"/>
          <w:szCs w:val="28"/>
        </w:rPr>
        <w:t xml:space="preserve"> Nie zastąpimy przedsiębiorców, a ich niestety tak wielu nie ma i co gorsza są już często bardzo zmęczeni. I to jest być może główny problem utrzymania dobrej rentowności polskich przedsiębiorstw. Ostatnią listę 100 najbogatszych Polaków miesięcznika Forbes Polska zamyka biznesmen z majątkiem 190 mln złotych, i dla niektórych jest to nawet poważny problem społeczny – wysoki współczynnik </w:t>
      </w:r>
      <w:proofErr w:type="spellStart"/>
      <w:r w:rsidR="00344333">
        <w:rPr>
          <w:rFonts w:ascii="Times New Roman" w:hAnsi="Times New Roman" w:cs="Times New Roman"/>
          <w:sz w:val="28"/>
          <w:szCs w:val="28"/>
        </w:rPr>
        <w:t>Giniego</w:t>
      </w:r>
      <w:proofErr w:type="spellEnd"/>
      <w:r w:rsidR="00344333">
        <w:rPr>
          <w:rFonts w:ascii="Times New Roman" w:hAnsi="Times New Roman" w:cs="Times New Roman"/>
          <w:sz w:val="28"/>
          <w:szCs w:val="28"/>
        </w:rPr>
        <w:t>, koncentracja</w:t>
      </w:r>
      <w:r w:rsidR="00607F86">
        <w:rPr>
          <w:rFonts w:ascii="Times New Roman" w:hAnsi="Times New Roman" w:cs="Times New Roman"/>
          <w:sz w:val="28"/>
          <w:szCs w:val="28"/>
        </w:rPr>
        <w:t xml:space="preserve"> bogactwa</w:t>
      </w:r>
      <w:r w:rsidR="00344333">
        <w:rPr>
          <w:rFonts w:ascii="Times New Roman" w:hAnsi="Times New Roman" w:cs="Times New Roman"/>
          <w:sz w:val="28"/>
          <w:szCs w:val="28"/>
        </w:rPr>
        <w:t xml:space="preserve">, niesprawiedliwość… Tak naprawdę </w:t>
      </w:r>
      <w:r w:rsidR="006F0C1C">
        <w:rPr>
          <w:rFonts w:ascii="Times New Roman" w:hAnsi="Times New Roman" w:cs="Times New Roman"/>
          <w:sz w:val="28"/>
          <w:szCs w:val="28"/>
        </w:rPr>
        <w:t xml:space="preserve">tymczasem </w:t>
      </w:r>
      <w:r w:rsidR="00344333">
        <w:rPr>
          <w:rFonts w:ascii="Times New Roman" w:hAnsi="Times New Roman" w:cs="Times New Roman"/>
          <w:sz w:val="28"/>
          <w:szCs w:val="28"/>
        </w:rPr>
        <w:t>problemem jest to, że ten biznesmen zamyka listę pierwszych 100</w:t>
      </w:r>
      <w:r w:rsidR="006F0C1C">
        <w:rPr>
          <w:rFonts w:ascii="Times New Roman" w:hAnsi="Times New Roman" w:cs="Times New Roman"/>
          <w:sz w:val="28"/>
          <w:szCs w:val="28"/>
        </w:rPr>
        <w:t>,</w:t>
      </w:r>
      <w:r w:rsidR="00344333">
        <w:rPr>
          <w:rFonts w:ascii="Times New Roman" w:hAnsi="Times New Roman" w:cs="Times New Roman"/>
          <w:sz w:val="28"/>
          <w:szCs w:val="28"/>
        </w:rPr>
        <w:t xml:space="preserve"> a nie listę pierwszych 1000</w:t>
      </w:r>
      <w:r w:rsidR="00607F86">
        <w:rPr>
          <w:rFonts w:ascii="Times New Roman" w:hAnsi="Times New Roman" w:cs="Times New Roman"/>
          <w:sz w:val="28"/>
          <w:szCs w:val="28"/>
        </w:rPr>
        <w:t xml:space="preserve">, </w:t>
      </w:r>
      <w:r w:rsidR="00BB5A0A">
        <w:rPr>
          <w:rFonts w:ascii="Times New Roman" w:hAnsi="Times New Roman" w:cs="Times New Roman"/>
          <w:sz w:val="28"/>
          <w:szCs w:val="28"/>
        </w:rPr>
        <w:t xml:space="preserve"> ulegającej</w:t>
      </w:r>
      <w:r w:rsidR="00344333">
        <w:rPr>
          <w:rFonts w:ascii="Times New Roman" w:hAnsi="Times New Roman" w:cs="Times New Roman"/>
          <w:sz w:val="28"/>
          <w:szCs w:val="28"/>
        </w:rPr>
        <w:t xml:space="preserve"> </w:t>
      </w:r>
      <w:r w:rsidR="00715E53">
        <w:rPr>
          <w:rFonts w:ascii="Times New Roman" w:hAnsi="Times New Roman" w:cs="Times New Roman"/>
          <w:sz w:val="28"/>
          <w:szCs w:val="28"/>
        </w:rPr>
        <w:t xml:space="preserve">np. </w:t>
      </w:r>
      <w:r w:rsidR="00344333">
        <w:rPr>
          <w:rFonts w:ascii="Times New Roman" w:hAnsi="Times New Roman" w:cs="Times New Roman"/>
          <w:sz w:val="28"/>
          <w:szCs w:val="28"/>
        </w:rPr>
        <w:t xml:space="preserve">corocznie 20 procentowej wymianie. </w:t>
      </w:r>
      <w:r w:rsidR="006F0C1C">
        <w:rPr>
          <w:rFonts w:ascii="Times New Roman" w:hAnsi="Times New Roman" w:cs="Times New Roman"/>
          <w:sz w:val="28"/>
          <w:szCs w:val="28"/>
        </w:rPr>
        <w:t xml:space="preserve">Jeden z naprawdę wybitnych profesorów ekonomii komentując tą listę bez najmniejszej ironii skonkludował : </w:t>
      </w:r>
      <w:r w:rsidR="006F0C1C">
        <w:rPr>
          <w:rFonts w:ascii="Times New Roman" w:hAnsi="Times New Roman" w:cs="Times New Roman"/>
          <w:i/>
          <w:sz w:val="28"/>
          <w:szCs w:val="28"/>
        </w:rPr>
        <w:t>że też im  się chce!</w:t>
      </w:r>
    </w:p>
    <w:p w:rsidR="007C5B2F" w:rsidRPr="00F3432A" w:rsidRDefault="00F3432A" w:rsidP="000744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Wydaje się więc, że głównym zagrożeniem dla utrzymania się wysokiej rentowności polskich przedsiębiorstw jest brak źródeł nowej fali przedsiębiorczości w Polsce i nowych źródeł atrakcyjności Polski jako miejsca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inwestowania. Poprzednie dwie takie fale, jak: rozpoczęcie transformacji (już od ustawy o przedsiębiorczości rządu Rakowskiego) i wejście Polski do Unii doprowadziły do rozwoju wielu rentownych przedsiębiorstw. Bez kolejnej takiej fali może dość do istotnego osłabienia przedsiębiorczych mikroekonomicznych podstaw gospodarki. </w:t>
      </w:r>
    </w:p>
    <w:p w:rsidR="007C5B2F" w:rsidRPr="00E30C45" w:rsidRDefault="003F1D5D" w:rsidP="00824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 jaki sposób może się ta fala pojawić?</w:t>
      </w:r>
      <w:r w:rsidR="00824864">
        <w:rPr>
          <w:rFonts w:ascii="Times New Roman" w:hAnsi="Times New Roman" w:cs="Times New Roman"/>
          <w:sz w:val="28"/>
          <w:szCs w:val="28"/>
        </w:rPr>
        <w:t xml:space="preserve"> Wykracza to poza możliwości niniejszego tekstu. Gdyby jednak trochę wstępnie pospekulować, to można powiedzieć, że pewną nadzieję na tę falę  kreuje wzrost znaczenia ekologicznego modelu biznesu. Tutaj - jak w pierwszej fali na początku okresu transformacji - „przedsiębiorczym paliwem” mogłaby okazać się reguła </w:t>
      </w:r>
      <w:proofErr w:type="spellStart"/>
      <w:r w:rsidR="00824864"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="008248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4864">
        <w:rPr>
          <w:rFonts w:ascii="Times New Roman" w:hAnsi="Times New Roman" w:cs="Times New Roman"/>
          <w:i/>
          <w:sz w:val="28"/>
          <w:szCs w:val="28"/>
        </w:rPr>
        <w:t>mover</w:t>
      </w:r>
      <w:proofErr w:type="spellEnd"/>
      <w:r w:rsidR="008248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4864">
        <w:rPr>
          <w:rFonts w:ascii="Times New Roman" w:hAnsi="Times New Roman" w:cs="Times New Roman"/>
          <w:i/>
          <w:sz w:val="28"/>
          <w:szCs w:val="28"/>
        </w:rPr>
        <w:t>advantage</w:t>
      </w:r>
      <w:proofErr w:type="spellEnd"/>
      <w:r w:rsidR="00824864">
        <w:rPr>
          <w:rFonts w:ascii="Times New Roman" w:hAnsi="Times New Roman" w:cs="Times New Roman"/>
          <w:sz w:val="28"/>
          <w:szCs w:val="28"/>
        </w:rPr>
        <w:t xml:space="preserve">, która dałaby szansę wielu nowym kandydatom do list 100 (1000) najbogatszych Polaków. </w:t>
      </w:r>
      <w:r w:rsidR="00B702AA">
        <w:rPr>
          <w:rFonts w:ascii="Times New Roman" w:hAnsi="Times New Roman" w:cs="Times New Roman"/>
          <w:sz w:val="28"/>
          <w:szCs w:val="28"/>
        </w:rPr>
        <w:t xml:space="preserve">Na razie jest </w:t>
      </w:r>
      <w:r w:rsidR="00D059F7">
        <w:rPr>
          <w:rFonts w:ascii="Times New Roman" w:hAnsi="Times New Roman" w:cs="Times New Roman"/>
          <w:sz w:val="28"/>
          <w:szCs w:val="28"/>
        </w:rPr>
        <w:t xml:space="preserve">to </w:t>
      </w:r>
      <w:r w:rsidR="00B702AA">
        <w:rPr>
          <w:rFonts w:ascii="Times New Roman" w:hAnsi="Times New Roman" w:cs="Times New Roman"/>
          <w:sz w:val="28"/>
          <w:szCs w:val="28"/>
        </w:rPr>
        <w:t>bardzo słaba szansa na wykreowanie trzeciej fali. Być może taką szansą okaże się… wielki kryzys systemu emerytalnego</w:t>
      </w:r>
      <w:r w:rsidR="00D059F7">
        <w:rPr>
          <w:rFonts w:ascii="Times New Roman" w:hAnsi="Times New Roman" w:cs="Times New Roman"/>
          <w:sz w:val="28"/>
          <w:szCs w:val="28"/>
        </w:rPr>
        <w:t xml:space="preserve"> i zdrowotnego</w:t>
      </w:r>
      <w:r w:rsidR="00B702AA">
        <w:rPr>
          <w:rFonts w:ascii="Times New Roman" w:hAnsi="Times New Roman" w:cs="Times New Roman"/>
          <w:sz w:val="28"/>
          <w:szCs w:val="28"/>
        </w:rPr>
        <w:t xml:space="preserve"> w Polsce. Jest to jednakże jeszcze większy </w:t>
      </w:r>
      <w:r w:rsidR="00B702AA">
        <w:rPr>
          <w:rFonts w:ascii="Times New Roman" w:hAnsi="Times New Roman" w:cs="Times New Roman"/>
          <w:i/>
          <w:sz w:val="28"/>
          <w:szCs w:val="28"/>
        </w:rPr>
        <w:t xml:space="preserve">science </w:t>
      </w:r>
      <w:proofErr w:type="spellStart"/>
      <w:r w:rsidR="00B702AA">
        <w:rPr>
          <w:rFonts w:ascii="Times New Roman" w:hAnsi="Times New Roman" w:cs="Times New Roman"/>
          <w:i/>
          <w:sz w:val="28"/>
          <w:szCs w:val="28"/>
        </w:rPr>
        <w:t>fiction</w:t>
      </w:r>
      <w:proofErr w:type="spellEnd"/>
      <w:r w:rsidR="00B702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142E">
        <w:rPr>
          <w:rFonts w:ascii="Times New Roman" w:hAnsi="Times New Roman" w:cs="Times New Roman"/>
          <w:sz w:val="28"/>
          <w:szCs w:val="28"/>
        </w:rPr>
        <w:t>Wciąż źródłem tej fali może być edukacja, która z charakterystycznym dla siebie wdziękiem zamyka się we własnym zaklętym kręgu najmądrzejszych pomysłów i dyskusji, ale to jest wielka szansa aby próbować się z tego kręgu wyrwać…</w:t>
      </w:r>
      <w:r w:rsidR="000C1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2AA">
        <w:rPr>
          <w:rFonts w:ascii="Times New Roman" w:hAnsi="Times New Roman" w:cs="Times New Roman"/>
          <w:sz w:val="28"/>
          <w:szCs w:val="28"/>
        </w:rPr>
        <w:t xml:space="preserve">Najprostszym sposobem rozwoju tej </w:t>
      </w:r>
      <w:r w:rsidR="000C142E">
        <w:rPr>
          <w:rFonts w:ascii="Times New Roman" w:hAnsi="Times New Roman" w:cs="Times New Roman"/>
          <w:sz w:val="28"/>
          <w:szCs w:val="28"/>
        </w:rPr>
        <w:t xml:space="preserve">trzeciej </w:t>
      </w:r>
      <w:r w:rsidR="00B702AA">
        <w:rPr>
          <w:rFonts w:ascii="Times New Roman" w:hAnsi="Times New Roman" w:cs="Times New Roman"/>
          <w:sz w:val="28"/>
          <w:szCs w:val="28"/>
        </w:rPr>
        <w:t>fali przedsiębiorczej byłaby nowa fala polityczna</w:t>
      </w:r>
      <w:r w:rsidR="000C142E">
        <w:rPr>
          <w:rFonts w:ascii="Times New Roman" w:hAnsi="Times New Roman" w:cs="Times New Roman"/>
          <w:sz w:val="28"/>
          <w:szCs w:val="28"/>
        </w:rPr>
        <w:t>, która postawiłaby na przedsiębiorców, głównych autorów sukcesów polskiej gospodarki w ostatnich latach</w:t>
      </w:r>
      <w:r w:rsidR="00E30C45">
        <w:rPr>
          <w:rFonts w:ascii="Times New Roman" w:hAnsi="Times New Roman" w:cs="Times New Roman"/>
          <w:sz w:val="28"/>
          <w:szCs w:val="28"/>
        </w:rPr>
        <w:t xml:space="preserve">. Ale to jest dopiero </w:t>
      </w:r>
      <w:r w:rsidR="00E30C45">
        <w:rPr>
          <w:rFonts w:ascii="Times New Roman" w:hAnsi="Times New Roman" w:cs="Times New Roman"/>
          <w:i/>
          <w:sz w:val="28"/>
          <w:szCs w:val="28"/>
        </w:rPr>
        <w:t>science fiction.</w:t>
      </w:r>
    </w:p>
    <w:sectPr w:rsidR="007C5B2F" w:rsidRPr="00E30C45" w:rsidSect="00E1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0" w:rsidRDefault="002F2EA0" w:rsidP="00B41EDA">
      <w:pPr>
        <w:spacing w:after="0" w:line="240" w:lineRule="auto"/>
      </w:pPr>
      <w:r>
        <w:separator/>
      </w:r>
    </w:p>
  </w:endnote>
  <w:endnote w:type="continuationSeparator" w:id="0">
    <w:p w:rsidR="002F2EA0" w:rsidRDefault="002F2EA0" w:rsidP="00B4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0" w:rsidRDefault="002F2EA0" w:rsidP="00B41EDA">
      <w:pPr>
        <w:spacing w:after="0" w:line="240" w:lineRule="auto"/>
      </w:pPr>
      <w:r>
        <w:separator/>
      </w:r>
    </w:p>
  </w:footnote>
  <w:footnote w:type="continuationSeparator" w:id="0">
    <w:p w:rsidR="002F2EA0" w:rsidRDefault="002F2EA0" w:rsidP="00B41EDA">
      <w:pPr>
        <w:spacing w:after="0" w:line="240" w:lineRule="auto"/>
      </w:pPr>
      <w:r>
        <w:continuationSeparator/>
      </w:r>
    </w:p>
  </w:footnote>
  <w:footnote w:id="1">
    <w:p w:rsidR="00135962" w:rsidRDefault="00135962">
      <w:pPr>
        <w:pStyle w:val="Tekstprzypisudolnego"/>
      </w:pPr>
      <w:r>
        <w:rPr>
          <w:rStyle w:val="Odwoanieprzypisudolnego"/>
        </w:rPr>
        <w:footnoteRef/>
      </w:r>
      <w:r>
        <w:t xml:space="preserve"> W Europie wciąż daleko do takich sukcesów, ale np. rekordowy w historii motoryzacji zysk netto </w:t>
      </w:r>
      <w:r w:rsidR="00786439">
        <w:t>Volkswagena (15,4 mld euro) w 2011 roku bliski jest naszej tezie o potężnej autonomicznej roli przedsiębiorstw we wzroście gospodarczym.</w:t>
      </w:r>
    </w:p>
  </w:footnote>
  <w:footnote w:id="2">
    <w:p w:rsidR="00786439" w:rsidRPr="00655827" w:rsidRDefault="00786439">
      <w:pPr>
        <w:pStyle w:val="Tekstprzypisudolnego"/>
      </w:pPr>
      <w:r>
        <w:rPr>
          <w:rStyle w:val="Odwoanieprzypisudolnego"/>
        </w:rPr>
        <w:footnoteRef/>
      </w:r>
      <w:r>
        <w:t xml:space="preserve"> Niestety dyskusje „naukowe” w Polsce na temat twardości mikroekonomicznych podstaw przedsiębiorczych wzrostu gospodarczego zazwyczaj nabierają silnych emocjonalnych cech politycznych. Z jednej strony</w:t>
      </w:r>
      <w:r w:rsidR="00655827">
        <w:t xml:space="preserve"> -</w:t>
      </w:r>
      <w:r>
        <w:t xml:space="preserve"> mamy więc np. raport  J. Hausnera i zespołu pod tytułem </w:t>
      </w:r>
      <w:r>
        <w:rPr>
          <w:i/>
        </w:rPr>
        <w:t xml:space="preserve">Kurs na innowacje </w:t>
      </w:r>
      <w:r>
        <w:t xml:space="preserve">mówiącym o pułapce zielonej wyspy, </w:t>
      </w:r>
      <w:proofErr w:type="spellStart"/>
      <w:r>
        <w:t>skolonializowanej</w:t>
      </w:r>
      <w:proofErr w:type="spellEnd"/>
      <w:r>
        <w:t xml:space="preserve"> i imitacyjnej  polskiej gospodarce lub diagnozę </w:t>
      </w:r>
      <w:r w:rsidR="00655827">
        <w:t xml:space="preserve">Z. Krasnodębskiego, że </w:t>
      </w:r>
      <w:r w:rsidR="00655827">
        <w:rPr>
          <w:i/>
        </w:rPr>
        <w:t xml:space="preserve"> </w:t>
      </w:r>
      <w:proofErr w:type="spellStart"/>
      <w:r w:rsidR="00655827">
        <w:rPr>
          <w:i/>
        </w:rPr>
        <w:t>neogierkizm</w:t>
      </w:r>
      <w:proofErr w:type="spellEnd"/>
      <w:r w:rsidR="00655827">
        <w:rPr>
          <w:i/>
        </w:rPr>
        <w:t xml:space="preserve"> zbliża się do swojego Radomia i Ursusa</w:t>
      </w:r>
      <w:r w:rsidR="00655827">
        <w:t xml:space="preserve">, że wszystko trzyma </w:t>
      </w:r>
      <w:r w:rsidR="00655827">
        <w:rPr>
          <w:i/>
        </w:rPr>
        <w:t>mamona czerpana z zagranicy</w:t>
      </w:r>
      <w:r w:rsidR="00655827">
        <w:t xml:space="preserve">, w efekcie dalej więc </w:t>
      </w:r>
      <w:proofErr w:type="spellStart"/>
      <w:r w:rsidR="00655827">
        <w:t>polnische</w:t>
      </w:r>
      <w:proofErr w:type="spellEnd"/>
      <w:r w:rsidR="00655827">
        <w:t xml:space="preserve"> </w:t>
      </w:r>
      <w:proofErr w:type="spellStart"/>
      <w:r w:rsidR="00655827">
        <w:t>wirtschaft</w:t>
      </w:r>
      <w:proofErr w:type="spellEnd"/>
      <w:r w:rsidR="00655827">
        <w:t xml:space="preserve"> ,  z którego niewiele się da wykrzesać (chyba żeby zmienić układ władzy), z drugiej strony</w:t>
      </w:r>
      <w:r w:rsidR="00852E68">
        <w:t xml:space="preserve"> -</w:t>
      </w:r>
      <w:r w:rsidR="00655827">
        <w:t xml:space="preserve"> propagandę sukcesu i przypisywanie sobie zasług innych, przede wszystkim przedsiębiorców, skądinąd traktowanych wysoce podejrzliwie.</w:t>
      </w:r>
      <w:r w:rsidR="002F0490">
        <w:t xml:space="preserve"> Warto czasami wyrwać się z tego zaklętego kręgu - np. w trakcie autentycznych konferencji naukowych organizowanych na wyższych uczelniach – i spróbować przynajmniej poszukiwać  prawdy przy pomocy metodologii naukowej.  </w:t>
      </w:r>
    </w:p>
  </w:footnote>
  <w:footnote w:id="3">
    <w:p w:rsidR="006C194E" w:rsidRPr="006C194E" w:rsidRDefault="006C194E">
      <w:pPr>
        <w:pStyle w:val="Tekstprzypisudolnego"/>
      </w:pPr>
      <w:r>
        <w:rPr>
          <w:rStyle w:val="Odwoanieprzypisudolnego"/>
        </w:rPr>
        <w:footnoteRef/>
      </w:r>
      <w:r w:rsidRPr="006C194E">
        <w:t xml:space="preserve"> Skądinąd jest to jedna z najważniejszych korzyści naszego wejścia do strefy euro – silne obniżenie realnej stopy procentowej, </w:t>
      </w:r>
      <w:r>
        <w:t>realnego kosztu kredytu dla przedsiębiorstw w Polsce.</w:t>
      </w:r>
    </w:p>
  </w:footnote>
  <w:footnote w:id="4">
    <w:p w:rsidR="00786D45" w:rsidRPr="00786D45" w:rsidRDefault="00786D45">
      <w:pPr>
        <w:pStyle w:val="Tekstprzypisudolnego"/>
      </w:pPr>
      <w:r>
        <w:rPr>
          <w:rStyle w:val="Odwoanieprzypisudolnego"/>
        </w:rPr>
        <w:footnoteRef/>
      </w:r>
      <w:r w:rsidRPr="00786D45">
        <w:t xml:space="preserve"> G. A. </w:t>
      </w:r>
      <w:proofErr w:type="spellStart"/>
      <w:r w:rsidRPr="00786D45">
        <w:t>Akerloff</w:t>
      </w:r>
      <w:proofErr w:type="spellEnd"/>
      <w:r w:rsidRPr="00786D45">
        <w:t xml:space="preserve">, R. J. </w:t>
      </w:r>
      <w:proofErr w:type="spellStart"/>
      <w:r w:rsidRPr="00786D45">
        <w:t>Shiller</w:t>
      </w:r>
      <w:proofErr w:type="spellEnd"/>
      <w:r w:rsidRPr="00786D45">
        <w:t xml:space="preserve">, </w:t>
      </w:r>
      <w:proofErr w:type="spellStart"/>
      <w:r w:rsidRPr="00786D45">
        <w:t>Instykt</w:t>
      </w:r>
      <w:proofErr w:type="spellEnd"/>
      <w:r w:rsidRPr="00786D45">
        <w:t xml:space="preserve"> </w:t>
      </w:r>
      <w:proofErr w:type="spellStart"/>
      <w:r w:rsidRPr="00786D45">
        <w:t>zwięrzęcy</w:t>
      </w:r>
      <w:proofErr w:type="spellEnd"/>
      <w:r w:rsidRPr="00786D45">
        <w:t xml:space="preserve">, polskie </w:t>
      </w:r>
      <w:proofErr w:type="spellStart"/>
      <w:r w:rsidRPr="00786D45">
        <w:t>wydanie,Warszawa</w:t>
      </w:r>
      <w:proofErr w:type="spellEnd"/>
      <w:r w:rsidRPr="00786D45">
        <w:t>, 2010</w:t>
      </w:r>
      <w:r>
        <w:t xml:space="preserve">, amerykańskie </w:t>
      </w:r>
      <w:proofErr w:type="spellStart"/>
      <w:r>
        <w:t>Princeton</w:t>
      </w:r>
      <w:proofErr w:type="spellEnd"/>
      <w:r>
        <w:t>, 2009.</w:t>
      </w:r>
    </w:p>
  </w:footnote>
  <w:footnote w:id="5">
    <w:p w:rsidR="00A05CD2" w:rsidRPr="00A05CD2" w:rsidRDefault="00A05CD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05CD2">
        <w:rPr>
          <w:lang w:val="en-US"/>
        </w:rPr>
        <w:t xml:space="preserve"> A. Field, Research In Economic History, Amsterdam, 2005.</w:t>
      </w:r>
    </w:p>
  </w:footnote>
  <w:footnote w:id="6">
    <w:p w:rsidR="00B05E9B" w:rsidRPr="00B05E9B" w:rsidRDefault="00B05E9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B05E9B">
        <w:rPr>
          <w:lang w:val="en-US"/>
        </w:rPr>
        <w:t xml:space="preserve"> N. Roubini, St. Mihm, Crisis Economics, New York, 2010.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B18"/>
    <w:multiLevelType w:val="hybridMultilevel"/>
    <w:tmpl w:val="C81C51D0"/>
    <w:lvl w:ilvl="0" w:tplc="2F58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F47E1"/>
    <w:multiLevelType w:val="hybridMultilevel"/>
    <w:tmpl w:val="D4D4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14EE2"/>
    <w:multiLevelType w:val="hybridMultilevel"/>
    <w:tmpl w:val="01F091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7D74"/>
    <w:multiLevelType w:val="hybridMultilevel"/>
    <w:tmpl w:val="6DEE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521"/>
    <w:multiLevelType w:val="hybridMultilevel"/>
    <w:tmpl w:val="C81C51D0"/>
    <w:lvl w:ilvl="0" w:tplc="2F58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0"/>
    <w:rsid w:val="0000186D"/>
    <w:rsid w:val="0000238B"/>
    <w:rsid w:val="000158A0"/>
    <w:rsid w:val="000303BC"/>
    <w:rsid w:val="0004034D"/>
    <w:rsid w:val="000502F8"/>
    <w:rsid w:val="00054C53"/>
    <w:rsid w:val="00062EBF"/>
    <w:rsid w:val="0007444D"/>
    <w:rsid w:val="00085A5E"/>
    <w:rsid w:val="00086A4E"/>
    <w:rsid w:val="000918E8"/>
    <w:rsid w:val="000C142E"/>
    <w:rsid w:val="000C35F3"/>
    <w:rsid w:val="000C7689"/>
    <w:rsid w:val="000D257A"/>
    <w:rsid w:val="000D3960"/>
    <w:rsid w:val="001000E9"/>
    <w:rsid w:val="00113EAF"/>
    <w:rsid w:val="001203C9"/>
    <w:rsid w:val="0013309C"/>
    <w:rsid w:val="00135962"/>
    <w:rsid w:val="00143E57"/>
    <w:rsid w:val="00147B64"/>
    <w:rsid w:val="001C050C"/>
    <w:rsid w:val="001C287D"/>
    <w:rsid w:val="001E7E8A"/>
    <w:rsid w:val="00215E16"/>
    <w:rsid w:val="00260FB3"/>
    <w:rsid w:val="00265312"/>
    <w:rsid w:val="00266CA4"/>
    <w:rsid w:val="002A2DDE"/>
    <w:rsid w:val="002B3E7C"/>
    <w:rsid w:val="002D4735"/>
    <w:rsid w:val="002F0490"/>
    <w:rsid w:val="002F2EA0"/>
    <w:rsid w:val="00320B54"/>
    <w:rsid w:val="00336FE8"/>
    <w:rsid w:val="00344333"/>
    <w:rsid w:val="0034739A"/>
    <w:rsid w:val="00357F26"/>
    <w:rsid w:val="00376708"/>
    <w:rsid w:val="00383428"/>
    <w:rsid w:val="00385D1A"/>
    <w:rsid w:val="003C59A1"/>
    <w:rsid w:val="003F1D5D"/>
    <w:rsid w:val="00406376"/>
    <w:rsid w:val="00452A0F"/>
    <w:rsid w:val="00454BEA"/>
    <w:rsid w:val="0045581B"/>
    <w:rsid w:val="00492B8B"/>
    <w:rsid w:val="004959CF"/>
    <w:rsid w:val="004A5B5F"/>
    <w:rsid w:val="004D1496"/>
    <w:rsid w:val="00506B79"/>
    <w:rsid w:val="005204F1"/>
    <w:rsid w:val="00567EE0"/>
    <w:rsid w:val="00573308"/>
    <w:rsid w:val="00574CB8"/>
    <w:rsid w:val="005A1CC6"/>
    <w:rsid w:val="005D4EA9"/>
    <w:rsid w:val="00607F86"/>
    <w:rsid w:val="00655827"/>
    <w:rsid w:val="00692A71"/>
    <w:rsid w:val="006A0EB9"/>
    <w:rsid w:val="006B211C"/>
    <w:rsid w:val="006C194E"/>
    <w:rsid w:val="006F0C1C"/>
    <w:rsid w:val="006F3E01"/>
    <w:rsid w:val="00715E53"/>
    <w:rsid w:val="007415B2"/>
    <w:rsid w:val="00745B33"/>
    <w:rsid w:val="007473BC"/>
    <w:rsid w:val="00786439"/>
    <w:rsid w:val="00786D45"/>
    <w:rsid w:val="007933F6"/>
    <w:rsid w:val="007B129F"/>
    <w:rsid w:val="007C5B2F"/>
    <w:rsid w:val="007C64F8"/>
    <w:rsid w:val="007D76C1"/>
    <w:rsid w:val="00824864"/>
    <w:rsid w:val="00840349"/>
    <w:rsid w:val="00847C7D"/>
    <w:rsid w:val="00852E68"/>
    <w:rsid w:val="0086001E"/>
    <w:rsid w:val="00864398"/>
    <w:rsid w:val="00871914"/>
    <w:rsid w:val="00936586"/>
    <w:rsid w:val="00945D28"/>
    <w:rsid w:val="0095095B"/>
    <w:rsid w:val="00A0508E"/>
    <w:rsid w:val="00A05CD2"/>
    <w:rsid w:val="00A11E7A"/>
    <w:rsid w:val="00A209B8"/>
    <w:rsid w:val="00A61C32"/>
    <w:rsid w:val="00A66DE3"/>
    <w:rsid w:val="00A97582"/>
    <w:rsid w:val="00AB20E9"/>
    <w:rsid w:val="00AE19E4"/>
    <w:rsid w:val="00AE3952"/>
    <w:rsid w:val="00B05E9B"/>
    <w:rsid w:val="00B10434"/>
    <w:rsid w:val="00B356CD"/>
    <w:rsid w:val="00B41EDA"/>
    <w:rsid w:val="00B52510"/>
    <w:rsid w:val="00B53EF5"/>
    <w:rsid w:val="00B702AA"/>
    <w:rsid w:val="00B75298"/>
    <w:rsid w:val="00B80D2F"/>
    <w:rsid w:val="00B91E1D"/>
    <w:rsid w:val="00BB12D7"/>
    <w:rsid w:val="00BB4BF8"/>
    <w:rsid w:val="00BB5A0A"/>
    <w:rsid w:val="00C05B56"/>
    <w:rsid w:val="00C7480F"/>
    <w:rsid w:val="00C96788"/>
    <w:rsid w:val="00CA435B"/>
    <w:rsid w:val="00CD09A0"/>
    <w:rsid w:val="00CE3BEE"/>
    <w:rsid w:val="00CE4463"/>
    <w:rsid w:val="00D008D9"/>
    <w:rsid w:val="00D059F7"/>
    <w:rsid w:val="00D34C85"/>
    <w:rsid w:val="00D85F86"/>
    <w:rsid w:val="00D87064"/>
    <w:rsid w:val="00D91220"/>
    <w:rsid w:val="00DC6FF0"/>
    <w:rsid w:val="00DD0D09"/>
    <w:rsid w:val="00DD3491"/>
    <w:rsid w:val="00DE25D2"/>
    <w:rsid w:val="00E034B1"/>
    <w:rsid w:val="00E06634"/>
    <w:rsid w:val="00E15A4F"/>
    <w:rsid w:val="00E30C45"/>
    <w:rsid w:val="00E47310"/>
    <w:rsid w:val="00E55FD0"/>
    <w:rsid w:val="00E560F9"/>
    <w:rsid w:val="00E576C6"/>
    <w:rsid w:val="00E82BC7"/>
    <w:rsid w:val="00EA4B87"/>
    <w:rsid w:val="00EE6A66"/>
    <w:rsid w:val="00F00E9B"/>
    <w:rsid w:val="00F33697"/>
    <w:rsid w:val="00F3432A"/>
    <w:rsid w:val="00F66DCB"/>
    <w:rsid w:val="00F9154B"/>
    <w:rsid w:val="00FA7444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3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962"/>
    <w:rPr>
      <w:vertAlign w:val="superscript"/>
    </w:rPr>
  </w:style>
  <w:style w:type="table" w:styleId="Tabela-Siatka">
    <w:name w:val="Table Grid"/>
    <w:basedOn w:val="Standardowy"/>
    <w:uiPriority w:val="59"/>
    <w:rsid w:val="00A0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3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962"/>
    <w:rPr>
      <w:vertAlign w:val="superscript"/>
    </w:rPr>
  </w:style>
  <w:style w:type="table" w:styleId="Tabela-Siatka">
    <w:name w:val="Table Grid"/>
    <w:basedOn w:val="Standardowy"/>
    <w:uiPriority w:val="59"/>
    <w:rsid w:val="00A0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640C-B13E-4C2C-A2B6-88418A61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Noga</dc:creator>
  <cp:lastModifiedBy>AN</cp:lastModifiedBy>
  <cp:revision>2</cp:revision>
  <cp:lastPrinted>2012-03-02T08:57:00Z</cp:lastPrinted>
  <dcterms:created xsi:type="dcterms:W3CDTF">2012-06-22T08:58:00Z</dcterms:created>
  <dcterms:modified xsi:type="dcterms:W3CDTF">2012-06-22T08:58:00Z</dcterms:modified>
</cp:coreProperties>
</file>